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EA" w:rsidRPr="006E61B9" w:rsidRDefault="00FE22EA" w:rsidP="00611D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a9"/>
        <w:tblW w:w="15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2"/>
        <w:gridCol w:w="8513"/>
      </w:tblGrid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03825">
              <w:rPr>
                <w:rFonts w:asciiTheme="minorHAnsi" w:hAnsiTheme="minorHAnsi"/>
                <w:b/>
                <w:sz w:val="24"/>
                <w:szCs w:val="24"/>
              </w:rPr>
              <w:t>Запитання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03825">
              <w:rPr>
                <w:rFonts w:asciiTheme="minorHAnsi" w:hAnsiTheme="minorHAnsi"/>
                <w:b/>
                <w:sz w:val="24"/>
                <w:szCs w:val="24"/>
              </w:rPr>
              <w:t>Відповідь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 w:cs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 w:cstheme="minorHAnsi"/>
                <w:color w:val="111111"/>
                <w:sz w:val="24"/>
                <w:szCs w:val="24"/>
              </w:rPr>
              <w:t xml:space="preserve">​Громада із кількістю жителів </w:t>
            </w:r>
            <w:r w:rsidR="00894EB2" w:rsidRPr="00103825">
              <w:rPr>
                <w:rFonts w:asciiTheme="minorHAnsi" w:hAnsiTheme="minorHAnsi" w:cstheme="minorHAnsi"/>
                <w:color w:val="111111"/>
                <w:sz w:val="24"/>
                <w:szCs w:val="24"/>
              </w:rPr>
              <w:t>менше</w:t>
            </w:r>
            <w:r w:rsidRPr="00103825">
              <w:rPr>
                <w:rFonts w:asciiTheme="minorHAnsi" w:hAnsiTheme="minorHAnsi" w:cstheme="minorHAnsi"/>
                <w:color w:val="111111"/>
                <w:sz w:val="24"/>
                <w:szCs w:val="24"/>
              </w:rPr>
              <w:t xml:space="preserve"> 10 тис. може подавати клопотання для отримання субвенції?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25">
              <w:rPr>
                <w:rFonts w:asciiTheme="minorHAnsi" w:hAnsiTheme="minorHAnsi" w:cstheme="minorHAnsi"/>
                <w:sz w:val="24"/>
                <w:szCs w:val="24"/>
              </w:rPr>
              <w:t xml:space="preserve">Подати клопотання на отримання коштів субвенції мають право всі без </w:t>
            </w:r>
            <w:r w:rsidR="00894EB2" w:rsidRPr="00103825">
              <w:rPr>
                <w:rFonts w:asciiTheme="minorHAnsi" w:hAnsiTheme="minorHAnsi" w:cstheme="minorHAnsi"/>
                <w:sz w:val="24"/>
                <w:szCs w:val="24"/>
              </w:rPr>
              <w:t>винятку</w:t>
            </w:r>
            <w:r w:rsidRPr="00103825">
              <w:rPr>
                <w:rFonts w:asciiTheme="minorHAnsi" w:hAnsiTheme="minorHAnsi" w:cstheme="minorHAnsi"/>
                <w:sz w:val="24"/>
                <w:szCs w:val="24"/>
              </w:rPr>
              <w:t xml:space="preserve"> громади</w:t>
            </w:r>
          </w:p>
        </w:tc>
      </w:tr>
      <w:tr w:rsidR="00894EB2" w:rsidRPr="00103825" w:rsidTr="00611D3C">
        <w:tc>
          <w:tcPr>
            <w:tcW w:w="7372" w:type="dxa"/>
          </w:tcPr>
          <w:p w:rsidR="00894EB2" w:rsidRPr="00103825" w:rsidRDefault="00894EB2" w:rsidP="00611D3C">
            <w:pPr>
              <w:jc w:val="both"/>
              <w:rPr>
                <w:rFonts w:asciiTheme="minorHAnsi" w:hAnsiTheme="minorHAnsi" w:cs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 w:cstheme="minorHAnsi"/>
                <w:sz w:val="24"/>
                <w:szCs w:val="24"/>
              </w:rPr>
              <w:t xml:space="preserve">У громаді ще нема </w:t>
            </w:r>
            <w:proofErr w:type="spellStart"/>
            <w:r w:rsidRPr="00103825">
              <w:rPr>
                <w:rFonts w:asciiTheme="minorHAnsi" w:hAnsiTheme="minorHAnsi" w:cstheme="minorHAnsi"/>
                <w:sz w:val="24"/>
                <w:szCs w:val="24"/>
              </w:rPr>
              <w:t>ЦНАПу</w:t>
            </w:r>
            <w:proofErr w:type="spellEnd"/>
            <w:r w:rsidRPr="00103825">
              <w:rPr>
                <w:rFonts w:asciiTheme="minorHAnsi" w:hAnsiTheme="minorHAnsi" w:cstheme="minorHAnsi"/>
                <w:sz w:val="24"/>
                <w:szCs w:val="24"/>
              </w:rPr>
              <w:t xml:space="preserve"> взагалі – то чи можна подавати заявку одразу і на будівництво і на його подальше облаштування?  Якщо можна – то це робиться у 1 спільній заявці (у 1 пакеті документів) чи окремими?</w:t>
            </w:r>
          </w:p>
        </w:tc>
        <w:tc>
          <w:tcPr>
            <w:tcW w:w="8513" w:type="dxa"/>
          </w:tcPr>
          <w:p w:rsidR="00894EB2" w:rsidRPr="00103825" w:rsidRDefault="00894EB2" w:rsidP="00611D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382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Якщо громада потребує створення ЦНАП, яке включає в себе і будівництво/реконструкцію/капремонт і забезпечення обладнанням, то подаються 2 окремі клопотання, за 1-м напрямом (будівництво) і за 2-м напрямом (обладнання), оскільки Порядком та умовами надання субвенції передбачене різне мінімальне співфінансування за цими напрямками - 10% і 30% відповідно. 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894EB2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Чи мають у 2022 році</w:t>
            </w:r>
            <w:r w:rsidR="00FC1558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ЦНАП, що підпада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ють</w:t>
            </w:r>
            <w:r w:rsidR="00FC1558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під пункт 61 плану заходів з реалізації Стратегії реформування державного управління України на 2019-2021 роки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, пріоритетне право на отримання субвенції</w:t>
            </w:r>
            <w:r w:rsidR="00FC1558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</w:tc>
        <w:tc>
          <w:tcPr>
            <w:tcW w:w="8513" w:type="dxa"/>
          </w:tcPr>
          <w:p w:rsidR="00FE22EA" w:rsidRPr="00103825" w:rsidRDefault="00894EB2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Ні, відповідно, до змін внесених до Порядку та умов надання субвенції з державного бюджету місцевим бюджетам на розвиток мережі центрів надання адміністративних послуг відповідно до постанови КМУ від 19.01.2022 № 38, такий чинник пріоритетності у 2022 році відсутній і не буде враховуватись при розподілі субвенції.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Що означає IDF ЦНАП громади і де його отримати?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При першому поданні квартального звіту від ЦНАП, йому присвоюють IDF ода чи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Мінцифра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. Якщо </w:t>
            </w:r>
            <w:r w:rsidR="00C96379" w:rsidRPr="00103825">
              <w:rPr>
                <w:rFonts w:asciiTheme="minorHAnsi" w:hAnsiTheme="minorHAnsi"/>
                <w:sz w:val="24"/>
                <w:szCs w:val="24"/>
              </w:rPr>
              <w:t>ЦНАП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не знає свого IDF, то вони мають звернутись до структурного підрозділу ОДА, що займається відповідним питанням</w:t>
            </w:r>
          </w:p>
        </w:tc>
      </w:tr>
      <w:tr w:rsidR="00526AA7" w:rsidRPr="00103825" w:rsidTr="00611D3C">
        <w:tc>
          <w:tcPr>
            <w:tcW w:w="7372" w:type="dxa"/>
          </w:tcPr>
          <w:p w:rsidR="00526AA7" w:rsidRPr="00103825" w:rsidRDefault="00526AA7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Чи може бути розпорядником коштів субвенції комунальне підприємство на балансі якого знаходиться приміщення яке планується реконструювати під ЦНАП?</w:t>
            </w:r>
          </w:p>
        </w:tc>
        <w:tc>
          <w:tcPr>
            <w:tcW w:w="8513" w:type="dxa"/>
          </w:tcPr>
          <w:p w:rsidR="00526AA7" w:rsidRPr="00103825" w:rsidRDefault="00E21F44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Ні, р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озпорядник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ами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субвенції за місцевими бюджетами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можуть бути лише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виконавч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і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органи сільських, селищних, міських рад, військово-цивільн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і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адміністраці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ї</w:t>
            </w:r>
          </w:p>
        </w:tc>
      </w:tr>
      <w:tr w:rsidR="00E21F44" w:rsidRPr="00103825" w:rsidTr="00611D3C">
        <w:tc>
          <w:tcPr>
            <w:tcW w:w="7372" w:type="dxa"/>
          </w:tcPr>
          <w:p w:rsidR="00E21F44" w:rsidRPr="00103825" w:rsidRDefault="00E21F44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В як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і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з пріор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и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тетів входить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</w:t>
            </w:r>
            <w:r w:rsidR="009E0188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2-й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напрямок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облаштування</w:t>
            </w:r>
            <w:r w:rsidR="009E0188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/обладнання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ЦНАП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</w:tc>
        <w:tc>
          <w:tcPr>
            <w:tcW w:w="8513" w:type="dxa"/>
          </w:tcPr>
          <w:p w:rsidR="00E21F44" w:rsidRPr="00103825" w:rsidRDefault="00E21F44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Відповідно до пункту 11 </w:t>
            </w:r>
            <w:r w:rsidR="009E0188" w:rsidRPr="00103825">
              <w:rPr>
                <w:rFonts w:asciiTheme="minorHAnsi" w:hAnsiTheme="minorHAnsi"/>
                <w:sz w:val="24"/>
                <w:szCs w:val="24"/>
              </w:rPr>
              <w:t>П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орядку та умов, за напрямком облаштування/обладнання є можливість отримати усі пріоритети, визначені </w:t>
            </w:r>
            <w:r w:rsidR="009E0188" w:rsidRPr="00103825">
              <w:rPr>
                <w:rFonts w:asciiTheme="minorHAnsi" w:hAnsiTheme="minorHAnsi"/>
                <w:sz w:val="24"/>
                <w:szCs w:val="24"/>
              </w:rPr>
              <w:t>підпунктами 1, 2, 4, 5, 6, 7 цього пункту</w:t>
            </w:r>
          </w:p>
        </w:tc>
      </w:tr>
      <w:tr w:rsidR="00E21F44" w:rsidRPr="00103825" w:rsidTr="00611D3C">
        <w:tc>
          <w:tcPr>
            <w:tcW w:w="7372" w:type="dxa"/>
          </w:tcPr>
          <w:p w:rsidR="00D142B7" w:rsidRPr="00103825" w:rsidRDefault="00D142B7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кщо рішення про утворення ЦНАП прийнято у 2021р., але крім рішення більше нічого не зроблено, тобто фактично ЦНАП не утворений. чи буде враховано таким громадам пріоритет №4 якщо рішення минулорічне?</w:t>
            </w:r>
          </w:p>
          <w:p w:rsidR="00E21F44" w:rsidRPr="00103825" w:rsidRDefault="00E21F44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кщо є рішення про утворення ЦНАП у травні 2021, але ЦНАП ще не функціонує. Як правильно заповнити додаток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</w:tc>
        <w:tc>
          <w:tcPr>
            <w:tcW w:w="8513" w:type="dxa"/>
          </w:tcPr>
          <w:p w:rsidR="003167A5" w:rsidRPr="00103825" w:rsidRDefault="003167A5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Так, але якщо при поданні звітності зі статичного моніторингу зазначено, що ЦНАП не діючий і послуги у ньому фактично не надавались станом на 01.10.2021</w:t>
            </w:r>
          </w:p>
          <w:p w:rsidR="00E21F44" w:rsidRPr="00103825" w:rsidRDefault="00E21F44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У такому випадку необхідно </w:t>
            </w:r>
            <w:r w:rsidR="00D11B10" w:rsidRPr="00103825">
              <w:rPr>
                <w:rFonts w:asciiTheme="minorHAnsi" w:hAnsiTheme="minorHAnsi"/>
                <w:sz w:val="24"/>
                <w:szCs w:val="24"/>
              </w:rPr>
              <w:t>навпроти Пріоритету 4 проставити «Так», при цьому необхідно щоб ця інформація співпадала з інформацією, яка подається ОДА як звітність зі статичного моніторингу</w:t>
            </w:r>
          </w:p>
        </w:tc>
      </w:tr>
      <w:tr w:rsidR="00D11B10" w:rsidRPr="00103825" w:rsidTr="00611D3C">
        <w:tc>
          <w:tcPr>
            <w:tcW w:w="7372" w:type="dxa"/>
          </w:tcPr>
          <w:p w:rsidR="00D11B10" w:rsidRPr="00103825" w:rsidRDefault="00D11B10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lastRenderedPageBreak/>
              <w:t>Я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к оформлюється рішення про будівництво (це рішення про затвердження ПКД, чи якесь окреме рішення)?</w:t>
            </w:r>
          </w:p>
        </w:tc>
        <w:tc>
          <w:tcPr>
            <w:tcW w:w="8513" w:type="dxa"/>
          </w:tcPr>
          <w:p w:rsidR="00D11B10" w:rsidRPr="00103825" w:rsidRDefault="00D11B10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Так, мається на увазі саме рішення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про затвердження ПКД</w:t>
            </w:r>
          </w:p>
        </w:tc>
      </w:tr>
      <w:tr w:rsidR="00D11B10" w:rsidRPr="00103825" w:rsidTr="00611D3C">
        <w:tc>
          <w:tcPr>
            <w:tcW w:w="7372" w:type="dxa"/>
          </w:tcPr>
          <w:p w:rsidR="00D11B10" w:rsidRPr="00103825" w:rsidRDefault="00D11B10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С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убвенція на паспортне обладнання, аби в ЦНАП був весь спектр послуг, має місце?</w:t>
            </w:r>
          </w:p>
        </w:tc>
        <w:tc>
          <w:tcPr>
            <w:tcW w:w="8513" w:type="dxa"/>
          </w:tcPr>
          <w:p w:rsidR="00D11B10" w:rsidRPr="00103825" w:rsidRDefault="00D11B10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Так, </w:t>
            </w:r>
            <w:r w:rsidR="00FD42E1" w:rsidRPr="00103825">
              <w:rPr>
                <w:rFonts w:asciiTheme="minorHAnsi" w:hAnsiTheme="minorHAnsi"/>
                <w:sz w:val="24"/>
                <w:szCs w:val="24"/>
              </w:rPr>
              <w:t>підпунктом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2 пункту 4 Порядку та умов передбачено спрямування субвенції, зокрема, на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зокрема обладнанням для видачі паспортних документів, посвідчення водія та реєстрації транспортних засобів</w:t>
            </w:r>
          </w:p>
        </w:tc>
      </w:tr>
      <w:tr w:rsidR="00FD42E1" w:rsidRPr="00103825" w:rsidTr="00611D3C">
        <w:tc>
          <w:tcPr>
            <w:tcW w:w="7372" w:type="dxa"/>
          </w:tcPr>
          <w:p w:rsidR="00FD42E1" w:rsidRPr="00103825" w:rsidRDefault="00FD42E1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Якщо інформація про населення в додатку підтягується не</w:t>
            </w:r>
            <w:r w:rsidR="00D435B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коректно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, розбіжність в +30 тис. осіб</w:t>
            </w:r>
          </w:p>
        </w:tc>
        <w:tc>
          <w:tcPr>
            <w:tcW w:w="8513" w:type="dxa"/>
          </w:tcPr>
          <w:p w:rsidR="00FD42E1" w:rsidRPr="00103825" w:rsidRDefault="00AF3C8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Інформація підтягується із даних, які використовуються на порталі децентралізації</w:t>
            </w:r>
          </w:p>
        </w:tc>
      </w:tr>
      <w:tr w:rsidR="00FD42E1" w:rsidRPr="00103825" w:rsidTr="00611D3C">
        <w:tc>
          <w:tcPr>
            <w:tcW w:w="7372" w:type="dxa"/>
          </w:tcPr>
          <w:p w:rsidR="00FD42E1" w:rsidRPr="00103825" w:rsidRDefault="00FD42E1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Ч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и можна подавати на реконструкцію віддалених робочих місць (напрямок 1)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</w:tc>
        <w:tc>
          <w:tcPr>
            <w:tcW w:w="8513" w:type="dxa"/>
          </w:tcPr>
          <w:p w:rsidR="00FD42E1" w:rsidRPr="00103825" w:rsidRDefault="00FD42E1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Так, можна</w:t>
            </w:r>
          </w:p>
        </w:tc>
      </w:tr>
      <w:tr w:rsidR="00893CC1" w:rsidRPr="00103825" w:rsidTr="00611D3C">
        <w:tc>
          <w:tcPr>
            <w:tcW w:w="7372" w:type="dxa"/>
          </w:tcPr>
          <w:p w:rsidR="00893CC1" w:rsidRPr="00103825" w:rsidRDefault="00893CC1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Яка сума співфінансування місцевого бюджету повинна бути за напрямком 2?</w:t>
            </w:r>
          </w:p>
        </w:tc>
        <w:tc>
          <w:tcPr>
            <w:tcW w:w="8513" w:type="dxa"/>
          </w:tcPr>
          <w:p w:rsidR="00893CC1" w:rsidRPr="00103825" w:rsidRDefault="00893CC1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Мінімальне співфінансування на 2-м напрямком (облаштування/обладнання) 30% від загальної вартості</w:t>
            </w:r>
          </w:p>
        </w:tc>
      </w:tr>
      <w:tr w:rsidR="0063064D" w:rsidRPr="00103825" w:rsidTr="00611D3C">
        <w:tc>
          <w:tcPr>
            <w:tcW w:w="7372" w:type="dxa"/>
          </w:tcPr>
          <w:p w:rsidR="00AF3C88" w:rsidRPr="00103825" w:rsidRDefault="00AF3C8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За 1 напрямком експертний висновок потрібно подавати лише на нове будівництво чи і на реконструкцію, реставрацію, капітальний ремонт будівель та приміщень, які в тому числі передбачені цим напрямком?</w:t>
            </w:r>
          </w:p>
          <w:p w:rsidR="0063064D" w:rsidRPr="00103825" w:rsidRDefault="0063064D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Потрібно прое</w:t>
            </w:r>
            <w:r w:rsidR="00D435B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к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тну до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к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ументацію на капітальний ремонт,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чи кошторисну документацію на капітальний ремонт?</w:t>
            </w:r>
          </w:p>
          <w:p w:rsidR="00AF3C88" w:rsidRPr="00103825" w:rsidRDefault="00AF3C8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63064D" w:rsidRPr="00103825" w:rsidRDefault="0063064D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В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ідповідно до п. 10 Порядку затвердження проектів будівництва і проведення їх експертизи (постанова КМУ № 560) обов'язковій експертизі підлягають проекти будівництва об'єктів,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гарантії, якщо їх кошторисна вартість перевищує 300 тис. гривень, - щодо кошторисної частини проекту будівництва.</w:t>
            </w:r>
          </w:p>
          <w:p w:rsidR="0063064D" w:rsidRPr="00103825" w:rsidRDefault="0063064D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Тобто, щодо проектів загальна вартість яких не перевищує 300 тис. грн експертиза ПКД не вимагається.</w:t>
            </w:r>
          </w:p>
        </w:tc>
      </w:tr>
      <w:tr w:rsidR="0063064D" w:rsidRPr="00103825" w:rsidTr="00611D3C">
        <w:tc>
          <w:tcPr>
            <w:tcW w:w="7372" w:type="dxa"/>
          </w:tcPr>
          <w:p w:rsidR="0063064D" w:rsidRPr="00103825" w:rsidRDefault="003167A5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Якщо ПКД і на ремонт і на обладнання (без техніки), тоді суму </w:t>
            </w:r>
            <w:proofErr w:type="spellStart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проєкту</w:t>
            </w:r>
            <w:proofErr w:type="spellEnd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на ремонт вказувати за вирахуванням вартості обладнання, яка вказана в ПКД?</w:t>
            </w:r>
          </w:p>
        </w:tc>
        <w:tc>
          <w:tcPr>
            <w:tcW w:w="8513" w:type="dxa"/>
          </w:tcPr>
          <w:p w:rsidR="0063064D" w:rsidRPr="00103825" w:rsidRDefault="003167A5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Так, вірно, можна подати таке ПКД, але зазначити яка частина вартості стосується саме  будівництва і подати її окремим клопотанням з мінімальним співфінансуванням 10%, щодо частини ПКД, що стосується обладнання подавати окреме клопотання за 2-м напрямком, де мінімальне співфінансування 30%</w:t>
            </w:r>
          </w:p>
        </w:tc>
      </w:tr>
      <w:tr w:rsidR="0063064D" w:rsidRPr="00103825" w:rsidTr="00611D3C">
        <w:tc>
          <w:tcPr>
            <w:tcW w:w="7372" w:type="dxa"/>
          </w:tcPr>
          <w:p w:rsidR="0063064D" w:rsidRPr="00103825" w:rsidRDefault="003167A5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Чи можна одночасно подавати клопотання на тех</w:t>
            </w:r>
            <w:r w:rsidR="00D9082C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н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іку для ВРМ і паспортне/водійське обладнання?</w:t>
            </w:r>
          </w:p>
          <w:p w:rsidR="003167A5" w:rsidRPr="00103825" w:rsidRDefault="003167A5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​Якщо ЦНАП і 4 ВРМ, то потрібно робити окремо кожне клопотання чи через кому в одному</w:t>
            </w:r>
            <w:r w:rsidR="00D435B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</w:tc>
        <w:tc>
          <w:tcPr>
            <w:tcW w:w="8513" w:type="dxa"/>
          </w:tcPr>
          <w:p w:rsidR="0063064D" w:rsidRPr="00103825" w:rsidRDefault="003167A5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Так, можна, одним клопотанням за 2-м напрямком субвенції</w:t>
            </w:r>
          </w:p>
          <w:p w:rsidR="003167A5" w:rsidRPr="00103825" w:rsidRDefault="00D9082C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Потрібно ч</w:t>
            </w:r>
            <w:r w:rsidR="003167A5" w:rsidRPr="00103825">
              <w:rPr>
                <w:rFonts w:asciiTheme="minorHAnsi" w:hAnsiTheme="minorHAnsi"/>
                <w:sz w:val="24"/>
                <w:szCs w:val="24"/>
              </w:rPr>
              <w:t>ерез кому зазначити інформацію про ЦНАП і ВРМ</w:t>
            </w:r>
          </w:p>
        </w:tc>
      </w:tr>
      <w:tr w:rsidR="003167A5" w:rsidRPr="00103825" w:rsidTr="00611D3C">
        <w:tc>
          <w:tcPr>
            <w:tcW w:w="7372" w:type="dxa"/>
          </w:tcPr>
          <w:p w:rsidR="003167A5" w:rsidRPr="00103825" w:rsidRDefault="00D9082C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З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більшилася кількість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ВРМ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в громаді з 2 до 6. На закупівлю обладнання необхідно вказувати на кожне </w:t>
            </w:r>
            <w:r w:rsidR="00D435B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ВРМ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, чи одне клопотання + 6 додатків на кожне </w:t>
            </w:r>
            <w:r w:rsidR="00D435B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ВРМ?</w:t>
            </w:r>
          </w:p>
        </w:tc>
        <w:tc>
          <w:tcPr>
            <w:tcW w:w="8513" w:type="dxa"/>
          </w:tcPr>
          <w:p w:rsidR="003167A5" w:rsidRPr="00103825" w:rsidRDefault="00CF29B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Подається загальна вартість обладнання для усіх 6 ВРМ одним клопотанням разом з одним додатком</w:t>
            </w:r>
          </w:p>
        </w:tc>
      </w:tr>
      <w:tr w:rsidR="00CF29B8" w:rsidRPr="00103825" w:rsidTr="00611D3C">
        <w:tc>
          <w:tcPr>
            <w:tcW w:w="7372" w:type="dxa"/>
          </w:tcPr>
          <w:p w:rsidR="00CF29B8" w:rsidRPr="00103825" w:rsidRDefault="00CF29B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Якщо в 2021 році були витрачені кошти на виготовлення ПКД (195</w:t>
            </w:r>
            <w:r w:rsidR="00D435B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тис.</w:t>
            </w:r>
            <w:r w:rsidR="00D435B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 грн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), цю суму треба вираховувати з суми співфінансування?</w:t>
            </w:r>
          </w:p>
        </w:tc>
        <w:tc>
          <w:tcPr>
            <w:tcW w:w="8513" w:type="dxa"/>
          </w:tcPr>
          <w:p w:rsidR="00CF29B8" w:rsidRPr="00103825" w:rsidRDefault="00CF29B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Співфінансуванням вважаються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тільки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кошти, що оплачені у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2022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році. Тобто якщо заплатили за ПКД у 2021 і виготовлення ПКД прописано у кошторисі до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lastRenderedPageBreak/>
              <w:t>проєкту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 - то це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зазначається у рядку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20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Додатку до клопотання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"Кошти місцевого бюджету в 2021 році та раніше, тис. грн"</w:t>
            </w:r>
          </w:p>
        </w:tc>
      </w:tr>
      <w:tr w:rsidR="00D9082C" w:rsidRPr="00103825" w:rsidTr="00611D3C">
        <w:tc>
          <w:tcPr>
            <w:tcW w:w="7372" w:type="dxa"/>
          </w:tcPr>
          <w:p w:rsidR="00D9082C" w:rsidRPr="00103825" w:rsidRDefault="00F21B55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lastRenderedPageBreak/>
              <w:t>Я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кщо громада не встигає виготовити ПКД до 01.03.2022. Чи є сенс подавати пакет документів після 01.03.2022? Чи краще на наступний рік?</w:t>
            </w:r>
          </w:p>
        </w:tc>
        <w:tc>
          <w:tcPr>
            <w:tcW w:w="8513" w:type="dxa"/>
          </w:tcPr>
          <w:p w:rsidR="00D9082C" w:rsidRPr="00103825" w:rsidRDefault="00F21B55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Подати клопотання із повним пакетом документів необхідно до 01.03.2022, документи, які будуть надіслані пізніше, не будуть прийняті до розгляду Комісією</w:t>
            </w:r>
          </w:p>
        </w:tc>
      </w:tr>
      <w:tr w:rsidR="003A4898" w:rsidRPr="00103825" w:rsidTr="00611D3C">
        <w:tc>
          <w:tcPr>
            <w:tcW w:w="7372" w:type="dxa"/>
          </w:tcPr>
          <w:p w:rsidR="003A4898" w:rsidRPr="00103825" w:rsidRDefault="003A489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Облаштування будівель та приміщень, де розміщений центр (другий напрямок) передбачає ремонтні роботи у ЦНАП? Якщо так, то які саме види ремонтних робіт сюди включені</w:t>
            </w:r>
            <w:r w:rsidR="00D435B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</w:tc>
        <w:tc>
          <w:tcPr>
            <w:tcW w:w="8513" w:type="dxa"/>
          </w:tcPr>
          <w:p w:rsidR="003A4898" w:rsidRPr="00103825" w:rsidRDefault="003A489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Клопотання щодо будь-яких ремонтних робіт необхідно подавати за 1-м напрямком субвенції</w:t>
            </w:r>
          </w:p>
        </w:tc>
      </w:tr>
      <w:tr w:rsidR="00104FC7" w:rsidRPr="00103825" w:rsidTr="00611D3C">
        <w:tc>
          <w:tcPr>
            <w:tcW w:w="7372" w:type="dxa"/>
          </w:tcPr>
          <w:p w:rsidR="00104FC7" w:rsidRPr="00103825" w:rsidRDefault="00104FC7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кщо реалізація </w:t>
            </w:r>
            <w:proofErr w:type="spellStart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проєкту</w:t>
            </w:r>
            <w:proofErr w:type="spellEnd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буде на території всієї громади,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куди включені декілька населених пунктів, пункт 5 таблиці, як здій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с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нювати запис цьому пункті?</w:t>
            </w:r>
          </w:p>
        </w:tc>
        <w:tc>
          <w:tcPr>
            <w:tcW w:w="8513" w:type="dxa"/>
          </w:tcPr>
          <w:p w:rsidR="00104FC7" w:rsidRPr="00103825" w:rsidRDefault="0066103B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Зазначати всі населені пункти територіальної громади, де буде реалізовуватись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проєкт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через кому</w:t>
            </w:r>
          </w:p>
        </w:tc>
      </w:tr>
      <w:tr w:rsidR="00104FC7" w:rsidRPr="00103825" w:rsidTr="00611D3C">
        <w:tc>
          <w:tcPr>
            <w:tcW w:w="7372" w:type="dxa"/>
          </w:tcPr>
          <w:p w:rsidR="00104FC7" w:rsidRPr="00103825" w:rsidRDefault="00104FC7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​Якщо субвенція подається на ВРМ чи ТП, у клопотанні де назва ЦНАП громади та IDF ЦНАП громади вказувати відповідну інформацію про конкретний ВРМ чи ТП чи все ж таки назву ЦНАП?</w:t>
            </w:r>
          </w:p>
        </w:tc>
        <w:tc>
          <w:tcPr>
            <w:tcW w:w="8513" w:type="dxa"/>
          </w:tcPr>
          <w:p w:rsidR="00104FC7" w:rsidRPr="00103825" w:rsidRDefault="00104FC7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Можна зазначити через кому, а можна інформацію про конкретний ТП чи ВРМ. Якщо їх ще не створено, то тоді назва і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IDF ЦНАП</w:t>
            </w:r>
          </w:p>
        </w:tc>
      </w:tr>
      <w:tr w:rsidR="00104FC7" w:rsidRPr="00103825" w:rsidTr="00611D3C">
        <w:tc>
          <w:tcPr>
            <w:tcW w:w="7372" w:type="dxa"/>
          </w:tcPr>
          <w:p w:rsidR="00104FC7" w:rsidRPr="00103825" w:rsidRDefault="00104FC7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Якщо в минулому році ми отримали субве</w:t>
            </w:r>
            <w:r w:rsidR="00D435B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н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цію на закупівлю паспортної установки чи можемо ми пр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е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тендувати на субвенцію в цьому році?</w:t>
            </w:r>
          </w:p>
        </w:tc>
        <w:tc>
          <w:tcPr>
            <w:tcW w:w="8513" w:type="dxa"/>
          </w:tcPr>
          <w:p w:rsidR="00104FC7" w:rsidRPr="00103825" w:rsidRDefault="00104FC7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Так, обмежень щодо подання клопотань для громад, які отримували субвенцію минулого року, немає</w:t>
            </w:r>
          </w:p>
        </w:tc>
      </w:tr>
      <w:tr w:rsidR="00AF3C88" w:rsidRPr="00103825" w:rsidTr="00611D3C">
        <w:tc>
          <w:tcPr>
            <w:tcW w:w="7372" w:type="dxa"/>
          </w:tcPr>
          <w:p w:rsidR="00AF3C88" w:rsidRPr="00103825" w:rsidRDefault="00AF3C8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За першим напрямком передбачено подачу матеріалів щодо використаних коштів та виконаних робіт у попередніх бюджетних періодах. Що саме це за матеріали?</w:t>
            </w:r>
          </w:p>
        </w:tc>
        <w:tc>
          <w:tcPr>
            <w:tcW w:w="8513" w:type="dxa"/>
          </w:tcPr>
          <w:p w:rsidR="00AF3C88" w:rsidRPr="00103825" w:rsidRDefault="00AF3C8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Це можуть бути акти виконаних робіт, звіти про використання коштів, будь-які інші документи, які підтверджують суму витрачених бюджетних коштів та показують реальний обсяг виконаних робіт</w:t>
            </w:r>
          </w:p>
        </w:tc>
      </w:tr>
      <w:tr w:rsidR="00CF29B8" w:rsidRPr="00103825" w:rsidTr="00611D3C">
        <w:tc>
          <w:tcPr>
            <w:tcW w:w="7372" w:type="dxa"/>
          </w:tcPr>
          <w:p w:rsidR="00CF29B8" w:rsidRPr="00103825" w:rsidRDefault="00CF29B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Чи потрібно завіряти копії документів проектів будівництва і як саме?</w:t>
            </w:r>
          </w:p>
        </w:tc>
        <w:tc>
          <w:tcPr>
            <w:tcW w:w="8513" w:type="dxa"/>
          </w:tcPr>
          <w:p w:rsidR="00CF29B8" w:rsidRPr="00103825" w:rsidRDefault="00CF29B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Ні, достатньо при поданні документів в електронній формі</w:t>
            </w:r>
            <w:r w:rsidR="003A4898" w:rsidRPr="00103825">
              <w:rPr>
                <w:rFonts w:asciiTheme="minorHAnsi" w:hAnsiTheme="minorHAnsi"/>
                <w:sz w:val="24"/>
                <w:szCs w:val="24"/>
              </w:rPr>
              <w:t xml:space="preserve"> накласти КЕП голови на усі матеріали, що додаються до клопотання</w:t>
            </w:r>
          </w:p>
        </w:tc>
      </w:tr>
      <w:tr w:rsidR="00FD42E1" w:rsidRPr="00103825" w:rsidTr="00611D3C">
        <w:tc>
          <w:tcPr>
            <w:tcW w:w="7372" w:type="dxa"/>
          </w:tcPr>
          <w:p w:rsidR="00FD42E1" w:rsidRPr="00103825" w:rsidRDefault="00372F52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Якщо населення менше 10 тис.</w:t>
            </w:r>
            <w:r w:rsidR="00D435B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осіб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я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кимись іншими напрямками можливо перейти в пріоритетні проекти?</w:t>
            </w:r>
          </w:p>
        </w:tc>
        <w:tc>
          <w:tcPr>
            <w:tcW w:w="8513" w:type="dxa"/>
          </w:tcPr>
          <w:p w:rsidR="00FD42E1" w:rsidRPr="00103825" w:rsidRDefault="00372F52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Так, окрім кількості населення пунктом 11 Порядку та умов передбачено ще 6 можливих чинників пріоритетності на 2022 рік 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До кого звертатись за консультаціями щодо подання клопотання?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Державний експерт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Балабко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Максим, balabko@thedigital.gov.ua</w:t>
            </w:r>
          </w:p>
        </w:tc>
      </w:tr>
      <w:tr w:rsidR="00D11B10" w:rsidRPr="00103825" w:rsidTr="00611D3C">
        <w:tc>
          <w:tcPr>
            <w:tcW w:w="7372" w:type="dxa"/>
          </w:tcPr>
          <w:p w:rsidR="00D11B10" w:rsidRPr="00103825" w:rsidRDefault="00D11B10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У громаді працює діючий ЦНАП. Чи можна використати субвенцію на перетворення ЦНАП в Цент Дія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</w:tc>
        <w:tc>
          <w:tcPr>
            <w:tcW w:w="8513" w:type="dxa"/>
          </w:tcPr>
          <w:p w:rsidR="006E61B9" w:rsidRPr="00103825" w:rsidRDefault="006E61B9" w:rsidP="006E61B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Відповідно до умов надання субвенції,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спрямування субвенції здійснюється на створення, приріст або оновлення основних фондів комунальної форми власності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11B10" w:rsidRPr="00103825" w:rsidRDefault="006E61B9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Водночас</w:t>
            </w:r>
            <w:r w:rsidR="00D11B10" w:rsidRPr="00103825">
              <w:rPr>
                <w:rFonts w:asciiTheme="minorHAnsi" w:hAnsiTheme="minorHAnsi"/>
                <w:sz w:val="24"/>
                <w:szCs w:val="24"/>
              </w:rPr>
              <w:t>, можна подати клопотання щодо облаштування/обладнання діючого центру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стосовно закупівлі меблів або техніки </w:t>
            </w:r>
            <w:r w:rsidR="00D11B10" w:rsidRPr="00103825">
              <w:rPr>
                <w:rFonts w:asciiTheme="minorHAnsi" w:hAnsiTheme="minorHAnsi"/>
                <w:sz w:val="24"/>
                <w:szCs w:val="24"/>
              </w:rPr>
              <w:t xml:space="preserve">для покращення умов надання послуг та розширення переліку послуг відповідно до вимог до Дія Центрів: </w:t>
            </w:r>
            <w:hyperlink r:id="rId5" w:history="1">
              <w:r w:rsidR="00D11B10" w:rsidRPr="00103825">
                <w:rPr>
                  <w:rStyle w:val="a7"/>
                  <w:rFonts w:asciiTheme="minorHAnsi" w:hAnsiTheme="minorHAnsi"/>
                  <w:sz w:val="24"/>
                  <w:szCs w:val="24"/>
                </w:rPr>
                <w:t>https://center.diia.gov.ua/centr-diia</w:t>
              </w:r>
            </w:hyperlink>
          </w:p>
        </w:tc>
      </w:tr>
      <w:tr w:rsidR="00E21F44" w:rsidRPr="00103825" w:rsidTr="00611D3C">
        <w:tc>
          <w:tcPr>
            <w:tcW w:w="7372" w:type="dxa"/>
          </w:tcPr>
          <w:p w:rsidR="00E21F44" w:rsidRPr="00103825" w:rsidRDefault="00E21F44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lastRenderedPageBreak/>
              <w:t xml:space="preserve">Якщо за проектну документацію (капремонт) </w:t>
            </w:r>
            <w:proofErr w:type="spellStart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оплачено</w:t>
            </w:r>
            <w:proofErr w:type="spellEnd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у 2021 році, то у клопотанні фінансування розподіляти на два роки: 2021 і 2022?</w:t>
            </w:r>
          </w:p>
        </w:tc>
        <w:tc>
          <w:tcPr>
            <w:tcW w:w="8513" w:type="dxa"/>
          </w:tcPr>
          <w:p w:rsidR="00E21F44" w:rsidRPr="00103825" w:rsidRDefault="00DD3EF1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Якщо вартість складання ПКД передбачено у зведеному кошторисі - то потрібно зазначити у додатку до клопотання в стрічці 20. Кошти місцевого бюджету в 2021 році та раніше, тис. грн. В самому клопотанні необхідно вказувати лише кошти 2022 року, а оскільки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проплата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відбулась у 2021 - то її включати не потрібно.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Як дізнатися чи отримали у </w:t>
            </w:r>
            <w:proofErr w:type="spellStart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Мінцифри</w:t>
            </w:r>
            <w:proofErr w:type="spellEnd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наше клопотання та чи </w:t>
            </w:r>
            <w:r w:rsidR="00F15D58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прийнято воно до розгляду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Інформація щодо клопотань, які офіційно надійшли до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Мінцифри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>, та стан їх опрацювання</w:t>
            </w:r>
            <w:r w:rsidR="00E35D14" w:rsidRPr="00103825">
              <w:rPr>
                <w:rFonts w:asciiTheme="minorHAnsi" w:hAnsiTheme="minorHAnsi"/>
                <w:sz w:val="24"/>
                <w:szCs w:val="24"/>
              </w:rPr>
              <w:t>, буде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розміщен</w:t>
            </w:r>
            <w:r w:rsidR="00E35D14" w:rsidRPr="00103825">
              <w:rPr>
                <w:rFonts w:asciiTheme="minorHAnsi" w:hAnsiTheme="minorHAnsi"/>
                <w:sz w:val="24"/>
                <w:szCs w:val="24"/>
              </w:rPr>
              <w:t>а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94EB2" w:rsidRPr="00103825">
              <w:rPr>
                <w:rFonts w:asciiTheme="minorHAnsi" w:hAnsiTheme="minorHAnsi"/>
                <w:sz w:val="24"/>
                <w:szCs w:val="24"/>
              </w:rPr>
              <w:t>на Пла</w:t>
            </w:r>
            <w:r w:rsidR="00BD41B0" w:rsidRPr="00103825">
              <w:rPr>
                <w:rFonts w:asciiTheme="minorHAnsi" w:hAnsiTheme="minorHAnsi"/>
                <w:sz w:val="24"/>
                <w:szCs w:val="24"/>
              </w:rPr>
              <w:t>т</w:t>
            </w:r>
            <w:r w:rsidR="00894EB2" w:rsidRPr="00103825">
              <w:rPr>
                <w:rFonts w:asciiTheme="minorHAnsi" w:hAnsiTheme="minorHAnsi"/>
                <w:sz w:val="24"/>
                <w:szCs w:val="24"/>
              </w:rPr>
              <w:t>формі Дія Центрів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94EB2" w:rsidRPr="00103825">
              <w:rPr>
                <w:rFonts w:asciiTheme="minorHAnsi" w:hAnsiTheme="minorHAnsi"/>
                <w:sz w:val="24"/>
                <w:szCs w:val="24"/>
              </w:rPr>
              <w:t xml:space="preserve">у розділі </w:t>
            </w:r>
            <w:r w:rsidR="00E35D14" w:rsidRPr="00103825">
              <w:rPr>
                <w:rFonts w:asciiTheme="minorHAnsi" w:hAnsiTheme="minorHAnsi"/>
                <w:sz w:val="24"/>
                <w:szCs w:val="24"/>
              </w:rPr>
              <w:t xml:space="preserve">Підтримка розвитку центрів на сторінці Субвенція на розвиток мережі ЦНАП. Оновлюватись інформація буде раз на добу або дві оскільки працівникам </w:t>
            </w:r>
            <w:proofErr w:type="spellStart"/>
            <w:r w:rsidR="00E35D14" w:rsidRPr="00103825">
              <w:rPr>
                <w:rFonts w:asciiTheme="minorHAnsi" w:hAnsiTheme="minorHAnsi"/>
                <w:sz w:val="24"/>
                <w:szCs w:val="24"/>
              </w:rPr>
              <w:t>Мінцифри</w:t>
            </w:r>
            <w:proofErr w:type="spellEnd"/>
            <w:r w:rsidR="00E35D14" w:rsidRPr="00103825">
              <w:rPr>
                <w:rFonts w:asciiTheme="minorHAnsi" w:hAnsiTheme="minorHAnsi"/>
                <w:sz w:val="24"/>
                <w:szCs w:val="24"/>
              </w:rPr>
              <w:t xml:space="preserve"> потрібен час на опрацювання великої кількості клопотань, які надходять.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Чи можна подавати декілька проектів</w:t>
            </w:r>
            <w:r w:rsidR="00ED388A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будівництва, наприклад один для ЦНАП, другий для ТП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Так, але у двох </w:t>
            </w:r>
            <w:r w:rsidR="00ED388A" w:rsidRPr="00103825">
              <w:rPr>
                <w:rFonts w:asciiTheme="minorHAnsi" w:hAnsiTheme="minorHAnsi"/>
                <w:sz w:val="24"/>
                <w:szCs w:val="24"/>
              </w:rPr>
              <w:t>окремих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клопотаннях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DA3C95" w:rsidP="00611D3C">
            <w:pPr>
              <w:jc w:val="both"/>
              <w:rPr>
                <w:rFonts w:asciiTheme="minorHAnsi" w:hAnsiTheme="minorHAnsi"/>
                <w:iCs/>
                <w:color w:val="7030A0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</w:t>
            </w:r>
            <w:r w:rsidR="00FC1558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​кого року повинні бути ПКД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Відповідно до п. 17 Порядку та умов надання субвенції проектна документація для об’єктів будівництва готується відповідно до вимог Порядку затвердження проектів будівництва і проведення їх експертизи, затвердженого постановою Кабінету Міністрів України від 11 травня 2011 р. № 560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​На момент подання клопотання повинна бути ПКД?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​Якщо ПКД в стадії розроблення, подавати заявку маємо право?</w:t>
            </w:r>
          </w:p>
          <w:p w:rsidR="003167A5" w:rsidRPr="00103825" w:rsidRDefault="003167A5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Я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кщо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Проєкт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в стадії розробки?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15D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На момент подання клопотання </w:t>
            </w:r>
            <w:r w:rsidR="00FC1558" w:rsidRPr="00103825">
              <w:rPr>
                <w:rFonts w:asciiTheme="minorHAnsi" w:hAnsiTheme="minorHAnsi"/>
                <w:sz w:val="24"/>
                <w:szCs w:val="24"/>
              </w:rPr>
              <w:t>має бути ПКД</w:t>
            </w:r>
            <w:r w:rsidR="003167A5" w:rsidRPr="0010382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6E61B9" w:rsidRPr="00103825">
              <w:rPr>
                <w:rFonts w:asciiTheme="minorHAnsi" w:hAnsiTheme="minorHAnsi"/>
                <w:sz w:val="24"/>
                <w:szCs w:val="24"/>
              </w:rPr>
              <w:t xml:space="preserve">яке подається разом з ПКД </w:t>
            </w:r>
            <w:r w:rsidR="003167A5" w:rsidRPr="00103825">
              <w:rPr>
                <w:rFonts w:asciiTheme="minorHAnsi" w:hAnsiTheme="minorHAnsi"/>
                <w:sz w:val="24"/>
                <w:szCs w:val="24"/>
              </w:rPr>
              <w:t>до 01.03.2022</w:t>
            </w:r>
            <w:r w:rsidR="00FC1558" w:rsidRPr="00103825">
              <w:rPr>
                <w:rFonts w:asciiTheme="minorHAnsi" w:hAnsiTheme="minorHAnsi"/>
                <w:sz w:val="24"/>
                <w:szCs w:val="24"/>
              </w:rPr>
              <w:t>. Відповідно до п.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C1558" w:rsidRPr="00103825">
              <w:rPr>
                <w:rFonts w:asciiTheme="minorHAnsi" w:hAnsiTheme="minorHAnsi"/>
                <w:sz w:val="24"/>
                <w:szCs w:val="24"/>
              </w:rPr>
              <w:t>8 Порядку та умов надання субвенції за напрямом “будівництво центрів” необхідно додати копію проекту будівництва центру та розрахунки вартості будівництва центру, деталізовані за видами робіт та роками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</w:t>
            </w:r>
            <w:r w:rsidR="00F15D58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Т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ехніко-економічне обґрунтування - чи є якісь вимоги до нього?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</w:t>
            </w:r>
            <w:r w:rsidR="00DA3C95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ТЕО складається у довільній формі, в ньому зазначаються потреба у конкретному облаштуванні/обладнанні, проблема, яку має громада у зв'язку із відсутністю цього, неможливість її розв’язання самостійно або іншим шляхом, очікувані результати у разі отримання субвенції (соціально-економічний ефект)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У цьому документі необхідно </w:t>
            </w:r>
            <w:r w:rsidR="00DA3C95" w:rsidRPr="00103825">
              <w:rPr>
                <w:rFonts w:asciiTheme="minorHAnsi" w:hAnsiTheme="minorHAnsi"/>
                <w:sz w:val="24"/>
                <w:szCs w:val="24"/>
              </w:rPr>
              <w:t>детально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розписати всі фінансові складники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проєкту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 (кількість обладнання та ціна кожної окремої одиниці, а також орієнтовна вартість з наведенням джерела для порівняння</w:t>
            </w:r>
            <w:r w:rsidR="00DA3C95" w:rsidRPr="00103825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Рекомендації щодо оформле</w:t>
            </w:r>
            <w:r w:rsidR="00DA3C95" w:rsidRPr="00103825">
              <w:rPr>
                <w:rFonts w:asciiTheme="minorHAnsi" w:hAnsiTheme="minorHAnsi"/>
                <w:sz w:val="24"/>
                <w:szCs w:val="24"/>
              </w:rPr>
              <w:t>н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ня ТЕО розміщено </w:t>
            </w:r>
            <w:r w:rsidR="00DA3C95" w:rsidRPr="00103825">
              <w:rPr>
                <w:rFonts w:asciiTheme="minorHAnsi" w:hAnsiTheme="minorHAnsi"/>
                <w:sz w:val="24"/>
                <w:szCs w:val="24"/>
              </w:rPr>
              <w:t>на Платформі Дія Центрів у розділі «Корисні матеріали»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Чи є якась орієнтовна вартість проекту з обладнанням та послугами по друку посвідчень/паспортів, та у кого про це можна дізнатися та </w:t>
            </w:r>
            <w:proofErr w:type="spellStart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прокомунікувати</w:t>
            </w:r>
            <w:proofErr w:type="spellEnd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Вартість обладнання визначається із урахуванням ринкових цін на таке обладнання, зокрема ціни на таке обладнання можна знайти на веб-сайті </w:t>
            </w:r>
            <w:hyperlink r:id="rId6">
              <w:r w:rsidRPr="00103825">
                <w:rPr>
                  <w:rFonts w:asciiTheme="minorHAnsi" w:hAnsiTheme="minorHAnsi"/>
                  <w:color w:val="0563C1"/>
                  <w:sz w:val="24"/>
                  <w:szCs w:val="24"/>
                  <w:u w:val="single"/>
                </w:rPr>
                <w:t>https://prozorro.gov.ua/</w:t>
              </w:r>
            </w:hyperlink>
            <w:r w:rsidRPr="00103825">
              <w:rPr>
                <w:rFonts w:asciiTheme="minorHAnsi" w:hAnsiTheme="minorHAnsi"/>
                <w:sz w:val="24"/>
                <w:szCs w:val="24"/>
              </w:rPr>
              <w:t>, можна також зв’язатись із постачальниками такого обладнання та дізнатись у них актуальні ціни на 202</w:t>
            </w:r>
            <w:r w:rsidR="00ED388A" w:rsidRPr="00103825">
              <w:rPr>
                <w:rFonts w:asciiTheme="minorHAnsi" w:hAnsiTheme="minorHAnsi"/>
                <w:sz w:val="24"/>
                <w:szCs w:val="24"/>
              </w:rPr>
              <w:t>2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рік.</w:t>
            </w:r>
          </w:p>
          <w:p w:rsidR="00FE22EA" w:rsidRPr="00103825" w:rsidRDefault="00DA3C95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lastRenderedPageBreak/>
              <w:t>Орієнтовна в</w:t>
            </w:r>
            <w:r w:rsidR="00FC1558" w:rsidRPr="00103825">
              <w:rPr>
                <w:rFonts w:asciiTheme="minorHAnsi" w:hAnsiTheme="minorHAnsi"/>
                <w:sz w:val="24"/>
                <w:szCs w:val="24"/>
              </w:rPr>
              <w:t>артість комплексу для оформлення та видачі посвідчень водія і реєстрації транспортних засобів, його монтаж та підключення складає приблизно 264 тис. грн;</w:t>
            </w:r>
          </w:p>
          <w:p w:rsidR="00FE22EA" w:rsidRPr="00103825" w:rsidRDefault="00DA3C95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Орієнтовна вартість</w:t>
            </w:r>
            <w:r w:rsidR="00FC1558" w:rsidRPr="00103825">
              <w:rPr>
                <w:rFonts w:asciiTheme="minorHAnsi" w:hAnsiTheme="minorHAnsi"/>
                <w:sz w:val="24"/>
                <w:szCs w:val="24"/>
              </w:rPr>
              <w:t xml:space="preserve"> робочої станції для оформлення та видачі паспортних документів, взяття біометричних даних і реєстрації місць проживання складає приблизно 310 тис. грн.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lastRenderedPageBreak/>
              <w:t>​Які вимоги до облаштування центру позначенням "Центр Дії"?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15D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З вимогами до Дія Центрів можна ознайомитись за посиланням: </w:t>
            </w:r>
            <w:hyperlink r:id="rId7" w:history="1">
              <w:r w:rsidRPr="00103825">
                <w:rPr>
                  <w:rStyle w:val="a7"/>
                  <w:rFonts w:asciiTheme="minorHAnsi" w:hAnsiTheme="minorHAnsi"/>
                  <w:sz w:val="24"/>
                  <w:szCs w:val="24"/>
                </w:rPr>
                <w:t>https://center.diia.gov.ua/centr-diia</w:t>
              </w:r>
            </w:hyperlink>
            <w:r w:rsidRPr="00103825">
              <w:rPr>
                <w:rFonts w:asciiTheme="minorHAnsi" w:hAnsiTheme="minorHAnsi"/>
                <w:sz w:val="24"/>
                <w:szCs w:val="24"/>
              </w:rPr>
              <w:t xml:space="preserve">. Позначення «Центр Дії» затверджено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Примірни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м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Регламент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ом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ЦНАП - https://zakon.rada.gov.ua/laws/show/588-2013-%D0%BF#Text , приклади та ТЗ до необхідних візуальних елементів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розміщено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за посиланням https://cutt.ly/cOrBSyd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​Чи можна використати субвенцію на капітальний ремонт віддалених робочих місць ЦНАП?</w:t>
            </w:r>
          </w:p>
        </w:tc>
        <w:tc>
          <w:tcPr>
            <w:tcW w:w="8513" w:type="dxa"/>
          </w:tcPr>
          <w:p w:rsidR="00FE22EA" w:rsidRPr="00103825" w:rsidRDefault="00ED388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ED388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Хто проводить тендери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Мінцифри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>, ОДА чи громада?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ED388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Г</w:t>
            </w:r>
            <w:r w:rsidR="00FC1558" w:rsidRPr="00103825">
              <w:rPr>
                <w:rFonts w:asciiTheme="minorHAnsi" w:hAnsiTheme="minorHAnsi"/>
                <w:sz w:val="24"/>
                <w:szCs w:val="24"/>
              </w:rPr>
              <w:t>ромада отрим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у</w:t>
            </w:r>
            <w:r w:rsidR="00FC1558" w:rsidRPr="00103825">
              <w:rPr>
                <w:rFonts w:asciiTheme="minorHAnsi" w:hAnsiTheme="minorHAnsi"/>
                <w:sz w:val="24"/>
                <w:szCs w:val="24"/>
              </w:rPr>
              <w:t xml:space="preserve">є кошти з Державного бюджету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і проводить тендерні закупівля товарів/робіт/послуг</w:t>
            </w:r>
            <w:r w:rsidR="00FC1558"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​А якщо співфінансування не по "кишені" громаді?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Відповідно до п. 5 Порядку та умов надання субвенції умовами надання субвенції є, зокрема, співфінансування у поточному бюджетному році з місцевих бюджетів та </w:t>
            </w:r>
            <w:r w:rsidR="004B1B50" w:rsidRPr="00103825">
              <w:rPr>
                <w:rFonts w:asciiTheme="minorHAnsi" w:hAnsiTheme="minorHAnsi"/>
                <w:sz w:val="24"/>
                <w:szCs w:val="24"/>
              </w:rPr>
              <w:t xml:space="preserve">інших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позабюджетних коштів, не заборонених законодавством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Субвенція може надаватися усім ЦНАП чи тільки тим, в яких не утворено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ЦНАПи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взагалі?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Подати клопотання на отримання коштів субвенції мають право всі без винятку громади</w:t>
            </w:r>
            <w:r w:rsidR="009053EB" w:rsidRPr="00103825">
              <w:rPr>
                <w:rFonts w:asciiTheme="minorHAnsi" w:hAnsiTheme="minorHAnsi"/>
                <w:sz w:val="24"/>
                <w:szCs w:val="24"/>
              </w:rPr>
              <w:t>, проте пріоритетне право на отримання субвенції у 2022 році мають саме громади, які не мали ЦНАП станом на 1 жовтня 2021 року.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​Чи можна отримати субвенцію на добудову ЦНАП, який має 70% готовність будівництва?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Подати клопотання на отримання коштів субвенції мають право всі без винятку громади незалежно від стадії будівництва ЦНАП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​Чи є обмеження в сумі субвенції</w:t>
            </w:r>
            <w:r w:rsidR="009053EB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, яку може отримати громада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?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</w:t>
            </w:r>
            <w:r w:rsidR="003167A5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Я</w:t>
            </w:r>
            <w:r w:rsidR="003167A5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кий максимальний розмір субвенції на один ЦНАП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Подати клопотання на отримання коштів субвенції мають право всі без винятку громади, незалежно від загальної суми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проєкту</w:t>
            </w:r>
            <w:proofErr w:type="spellEnd"/>
            <w:r w:rsidR="003167A5" w:rsidRPr="00103825">
              <w:rPr>
                <w:rFonts w:asciiTheme="minorHAnsi" w:hAnsiTheme="minorHAnsi"/>
                <w:sz w:val="24"/>
                <w:szCs w:val="24"/>
              </w:rPr>
              <w:t>. Обмежень по сумі на один ЦНАП немає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Позабюджетні кошти, як частка співфінансування повинна бути профінансована через цільовий фонд місцевого бюджету? 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Відповідно до п. 5 Порядку та умов надання субвенції умовами надання субвенції є, зокрема, співфінансування у поточному бюджетному році з місцевих бюджетів та позабюджетних коштів, не заборонених законодавством, мінімально  10% - за напрямком будівництво та 30% за напрямком облаштування/обладнання.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lastRenderedPageBreak/>
              <w:t>Задля спрощення роботи із Казначейством рекомендовано позабюджетні кошти проводити через цільовий фонд місцевого бюджету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lastRenderedPageBreak/>
              <w:t>​Пункт 8 Порядку, а саме: "копія проекту будівництва центру", Проект в двох томах з кресленнями, подавати всю копію?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Так, всю копію. Звертаємо увагу на можливість подати клопотання та матеріали в електронній формі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Одним із документів, які додаються до клопотання на отримання субвенції, є копія рішення відповідної ради про утворення центру.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​Рішенням ради утворювалась структура та виконавчі органи ради, яким створено і ЦНАП. Можете надати роз’яснення з цього питання?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Необхідно надати рішення про створення ЦНАП або витяг із рішення, яким створено ЦНАП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​ПКД повністю чи можна подати зведений кошторис?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118CE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Потрібно подавати ПКД повністю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​В якому виді подавати гарантійний лист щодо забезпечення </w:t>
            </w:r>
            <w:r w:rsidR="004B1B5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спів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фінансуванням?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Гарантійний лист складається у довільній формі, в </w:t>
            </w:r>
            <w:r w:rsidR="004B1B50" w:rsidRPr="00103825">
              <w:rPr>
                <w:rFonts w:asciiTheme="minorHAnsi" w:hAnsiTheme="minorHAnsi"/>
                <w:sz w:val="24"/>
                <w:szCs w:val="24"/>
              </w:rPr>
              <w:t>ньому обов’язково зазначається обсяг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B1B50" w:rsidRPr="00103825">
              <w:rPr>
                <w:rFonts w:asciiTheme="minorHAnsi" w:hAnsiTheme="minorHAnsi"/>
                <w:sz w:val="24"/>
                <w:szCs w:val="24"/>
              </w:rPr>
              <w:t>співфінансування, яке громада готова надати у разі отримання субвенції у поточному році у відсотковому значенні від загальної вартості проекту, а також сума співфінансування у тис. грн. Гарантійний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B1B50" w:rsidRPr="00103825">
              <w:rPr>
                <w:rFonts w:asciiTheme="minorHAnsi" w:hAnsiTheme="minorHAnsi"/>
                <w:sz w:val="24"/>
                <w:szCs w:val="24"/>
              </w:rPr>
              <w:t>лист підписується головою громади.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​</w:t>
            </w:r>
            <w:r w:rsidR="000F2BB6" w:rsidRPr="00103825">
              <w:rPr>
                <w:rFonts w:asciiTheme="minorHAnsi" w:hAnsiTheme="minorHAnsi"/>
                <w:sz w:val="24"/>
                <w:szCs w:val="24"/>
              </w:rPr>
              <w:t>М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ає бути рішення про співфінансування, чи достатньо гарантійного листа?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Достатньо гарантійного листа щодо співфінансування у разі отримання субвенції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​Можна детальніше щодо електронної подачі заявок? Чи контакти, за якими можна проконсультуватись?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000000"/>
                <w:sz w:val="24"/>
                <w:szCs w:val="24"/>
              </w:rPr>
              <w:t>Клопотання та матеріали приймаються</w:t>
            </w:r>
            <w:r w:rsidR="004B1B50" w:rsidRPr="0010382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через систему електронного документообігу (СЕВ ОВВ), та</w:t>
            </w:r>
            <w:r w:rsidRPr="0010382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електронній формі з використанням електронного підпису</w:t>
            </w:r>
            <w:r w:rsidR="004B1B50" w:rsidRPr="0010382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(КЕП) </w:t>
            </w:r>
            <w:r w:rsidRPr="0010382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електронну адресу </w:t>
            </w:r>
            <w:hyperlink r:id="rId8">
              <w:r w:rsidRPr="00103825">
                <w:rPr>
                  <w:rFonts w:asciiTheme="minorHAnsi" w:hAnsiTheme="minorHAnsi"/>
                  <w:color w:val="0563C1"/>
                  <w:sz w:val="24"/>
                  <w:szCs w:val="24"/>
                  <w:u w:val="single"/>
                </w:rPr>
                <w:t>hello@thedigital.gov.ua</w:t>
              </w:r>
            </w:hyperlink>
            <w:r w:rsidRPr="00103825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Сервіс підписання документів електронним підписом тепер доступний на порталі Дія: sign.diia.gov.ua/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Також ознайомитись із інформацією щодо підписання документів КЕП та подивитись освітній серіал на цю тему можна за посиланнями: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https://bit.ly/34pmGC4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https://osvita.diia.gov.ua/courses/digital-signature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​Які саме підтверджувальні документи щодо каналу конфіденційного зв’язку між центром і Єдиним ДДР потрібно подати?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Підтверджувальні документи (якщо вже встановлено канал)/гарантійний лист (в якому буде зазначено, що відповідним рішенням місцевої ради буде затверджено у бюджеті громади кошти на проведення каналу) щодо організації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lastRenderedPageBreak/>
              <w:t>каналу конфіденційного зв’язку між центром і Єдиним державним демографічним реєстром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lastRenderedPageBreak/>
              <w:t>​Якщо проект виготовлений в 2021 році, чи буде він дійсний в 202</w:t>
            </w:r>
            <w:r w:rsidR="004B1B50"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2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році, бо фактично встигнути зробити уточнення до 01.03. - це також </w:t>
            </w:r>
            <w:proofErr w:type="spellStart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заскладно</w:t>
            </w:r>
            <w:proofErr w:type="spellEnd"/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Проект не обов'язково має бути виготовлений у рік подання клопотання, водночас він має відповідати усім вимогам законодавства та бути актуальним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​Вартість каналу підключення паспортного обладнання теж може включатись до субвенції?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Ні, ця закупівля здійснюється повністю за кошти громади (після отримання фінансування за рахунок субвенції)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А у які терміни можна розраховувати на прийняття рішення </w:t>
            </w:r>
            <w:proofErr w:type="spellStart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Мінцифри</w:t>
            </w:r>
            <w:proofErr w:type="spellEnd"/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щодо фінансування проектів?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Після завершення етапу відбору </w:t>
            </w:r>
            <w:r w:rsidR="004B1B50" w:rsidRPr="00103825">
              <w:rPr>
                <w:rFonts w:asciiTheme="minorHAnsi" w:hAnsiTheme="minorHAnsi"/>
                <w:sz w:val="24"/>
                <w:szCs w:val="24"/>
              </w:rPr>
              <w:t>(до 01.03.2022),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прийняття рішення Комісією, підготовки та прийняття розпорядження КМУ про розподіл коштів субвенції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​Рішенням ради утворювалась структура та виконавчі органи ради, яким створено і ЦНАП, чи можна вважати дане рішення рішенням про утворення ЦНАП?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Так, якщо у відповідному рішенні також зазначено про утворення ЦНАП, у такому випадку необхідно надати витяг із цього рішення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​Які вимоги для місця консультації підприємців?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194AD2" w:rsidRPr="00103825" w:rsidRDefault="003A652C" w:rsidP="00611D3C">
            <w:pPr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Інформація щодо </w:t>
            </w:r>
            <w:r w:rsidR="00194AD2" w:rsidRPr="00103825">
              <w:rPr>
                <w:rFonts w:asciiTheme="minorHAnsi" w:hAnsiTheme="minorHAnsi"/>
                <w:sz w:val="24"/>
                <w:szCs w:val="24"/>
              </w:rPr>
              <w:t xml:space="preserve">місць для консультацій </w:t>
            </w:r>
            <w:proofErr w:type="spellStart"/>
            <w:r w:rsidR="00194AD2" w:rsidRPr="00103825">
              <w:rPr>
                <w:rFonts w:asciiTheme="minorHAnsi" w:hAnsiTheme="minorHAnsi"/>
                <w:sz w:val="24"/>
                <w:szCs w:val="24"/>
              </w:rPr>
              <w:t>підпрємців</w:t>
            </w:r>
            <w:proofErr w:type="spellEnd"/>
            <w:r w:rsidR="00194AD2" w:rsidRPr="00103825">
              <w:rPr>
                <w:rFonts w:asciiTheme="minorHAnsi" w:hAnsiTheme="minorHAnsi"/>
                <w:sz w:val="24"/>
                <w:szCs w:val="24"/>
              </w:rPr>
              <w:t xml:space="preserve"> у форматі </w:t>
            </w:r>
            <w:proofErr w:type="spellStart"/>
            <w:r w:rsidR="00194AD2" w:rsidRPr="00103825">
              <w:rPr>
                <w:rFonts w:asciiTheme="minorHAnsi" w:hAnsiTheme="minorHAnsi"/>
                <w:sz w:val="24"/>
                <w:szCs w:val="24"/>
              </w:rPr>
              <w:t>Дія.Бізнес</w:t>
            </w:r>
            <w:proofErr w:type="spellEnd"/>
            <w:r w:rsidR="00194AD2"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94AD2" w:rsidRPr="00103825">
              <w:rPr>
                <w:rFonts w:asciiTheme="minorHAnsi" w:hAnsiTheme="minorHAnsi"/>
                <w:sz w:val="24"/>
                <w:szCs w:val="24"/>
              </w:rPr>
              <w:t>розміщен</w:t>
            </w:r>
            <w:proofErr w:type="spellEnd"/>
            <w:r w:rsidR="00194AD2"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а</w:t>
            </w:r>
            <w:r w:rsidR="00194AD2" w:rsidRPr="001038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94AD2"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194AD2"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посиланням</w:t>
            </w:r>
            <w:proofErr w:type="spellEnd"/>
            <w:r w:rsidR="00194AD2"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="00194AD2" w:rsidRPr="00103825">
                <w:rPr>
                  <w:rStyle w:val="a7"/>
                  <w:rFonts w:asciiTheme="minorHAnsi" w:hAnsiTheme="minorHAnsi"/>
                  <w:sz w:val="24"/>
                  <w:szCs w:val="24"/>
                  <w:lang w:val="ru-RU"/>
                </w:rPr>
                <w:t>https://center.diia.gov.ua/library/informacia-pro-nacionalnij-proekt-z-rozvitku-pidpriemnictva-inicijovanij-mincifri</w:t>
              </w:r>
            </w:hyperlink>
          </w:p>
          <w:p w:rsidR="00FE22EA" w:rsidRPr="00103825" w:rsidRDefault="00194AD2" w:rsidP="00F118CE">
            <w:pPr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>разі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виникненя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додаткових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питань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можна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звернутись</w:t>
            </w:r>
            <w:proofErr w:type="spellEnd"/>
            <w:r w:rsidR="00FC1558" w:rsidRPr="00103825">
              <w:rPr>
                <w:rFonts w:asciiTheme="minorHAnsi" w:hAnsiTheme="minorHAnsi"/>
                <w:sz w:val="24"/>
                <w:szCs w:val="24"/>
              </w:rPr>
              <w:t xml:space="preserve"> за електронною </w:t>
            </w:r>
            <w:proofErr w:type="spellStart"/>
            <w:proofErr w:type="gramStart"/>
            <w:r w:rsidR="00FC1558" w:rsidRPr="00103825">
              <w:rPr>
                <w:rFonts w:asciiTheme="minorHAnsi" w:hAnsiTheme="minorHAnsi"/>
                <w:sz w:val="24"/>
                <w:szCs w:val="24"/>
              </w:rPr>
              <w:t>адресою</w:t>
            </w:r>
            <w:proofErr w:type="spellEnd"/>
            <w:r w:rsidR="00FC1558" w:rsidRPr="00103825">
              <w:rPr>
                <w:rFonts w:asciiTheme="minorHAnsi" w:hAnsiTheme="minorHAnsi"/>
                <w:sz w:val="24"/>
                <w:szCs w:val="24"/>
              </w:rPr>
              <w:t xml:space="preserve">  -</w:t>
            </w:r>
            <w:proofErr w:type="gramEnd"/>
            <w:r w:rsidR="00FC1558" w:rsidRPr="00103825">
              <w:rPr>
                <w:rFonts w:asciiTheme="minorHAnsi" w:hAnsiTheme="minorHAnsi"/>
                <w:sz w:val="24"/>
                <w:szCs w:val="24"/>
              </w:rPr>
              <w:t xml:space="preserve"> business@thedigital.gov.ua</w:t>
            </w:r>
          </w:p>
        </w:tc>
      </w:tr>
      <w:tr w:rsidR="00FE22EA" w:rsidRPr="00103825" w:rsidTr="00611D3C">
        <w:tc>
          <w:tcPr>
            <w:tcW w:w="7372" w:type="dxa"/>
            <w:shd w:val="clear" w:color="auto" w:fill="auto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А якщо є вже діючий Договір з УСС з 2019 року для оформлення паспортів - цього достатньо?</w:t>
            </w:r>
          </w:p>
          <w:p w:rsidR="00FE22EA" w:rsidRPr="00103825" w:rsidRDefault="00FC1558" w:rsidP="00611D3C">
            <w:pPr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​</w:t>
            </w:r>
          </w:p>
        </w:tc>
        <w:tc>
          <w:tcPr>
            <w:tcW w:w="8513" w:type="dxa"/>
            <w:shd w:val="clear" w:color="auto" w:fill="auto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У такому випадку необхідно надати  копію такого договору та/або гарантійний лист в якому буде зазначено, що відповідним рішенням місцевої ради буде затверджено у бюджеті громади кошти на проведення каналу конфіденційного зв’язку між центром і Єдиним державним демографічним реєстром, а також проведення первинної державної експертизи для отримання атестата відповідності комплексної системи захисту інформації, зареєстрованого в Адміністрації </w:t>
            </w:r>
            <w:proofErr w:type="spellStart"/>
            <w:r w:rsidRPr="00103825">
              <w:rPr>
                <w:rFonts w:asciiTheme="minorHAnsi" w:hAnsiTheme="minorHAnsi"/>
                <w:sz w:val="24"/>
                <w:szCs w:val="24"/>
              </w:rPr>
              <w:t>Держспецзв’язку</w:t>
            </w:r>
            <w:proofErr w:type="spellEnd"/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​Якщо реконструкція будівлі підпадає під категорію складності СС1, то дозвіл на початок будівельних робіт не передбачено. Тоді його подавати не потрібно?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Порядком та умовами не встановлено обов`язку подавати </w:t>
            </w: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t>дозвіл на початок будівельних робіт для отримання субвенції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111111"/>
                <w:sz w:val="24"/>
                <w:szCs w:val="24"/>
              </w:rPr>
              <w:lastRenderedPageBreak/>
              <w:t>​Чи можливо облаштувати нові ВРМ місця, якщо вони передбачені Регламентом ЦНАП, але фактично ще не створені (немає коштів), але можливе створення при отриманні субвенції, звичайно зі співфінансуванням?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Так, можна подати клопотання щодо облаштування/обладнання ВРМ, за умови прийняття рішення про його створення </w:t>
            </w:r>
            <w:r w:rsidR="006E61B9" w:rsidRPr="00103825">
              <w:rPr>
                <w:rFonts w:asciiTheme="minorHAnsi" w:hAnsiTheme="minorHAnsi"/>
                <w:sz w:val="24"/>
                <w:szCs w:val="24"/>
                <w:lang w:val="ru-RU"/>
              </w:rPr>
              <w:t>або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надання гарантійного листа про його створення.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Чи можуть громади, що брали участь у міжнародних проектах на створення ЦНАП, подавати заявки на створення нових ВРМ?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color w:val="111111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Так, подаватись на отримання субвенції можна для покриття інших потреб ЦНАП чи ВРМ, крім тих, які були покриті за рахунок міжнародної технічної допомоги.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Чи можна вважати облаштування ЦНАП -  придбання вікон, дверей, кондиціонеру?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3" w:type="dxa"/>
          </w:tcPr>
          <w:p w:rsidR="00FE22EA" w:rsidRPr="00103825" w:rsidRDefault="00F118CE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Ні, це 1-й напрямок субвенції, якщо кошторисна вартість робіт складає менше 300 тис. грн – потрібно надати замість ПКД та експертизи лише дефектний акт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Чи передбачає другий напрямок отримання субвенції проведення поточного ремонту і якщо так чи потрібно виготовляти ПКД?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3" w:type="dxa"/>
          </w:tcPr>
          <w:p w:rsidR="00F118CE" w:rsidRPr="00103825" w:rsidRDefault="00F118CE" w:rsidP="00F118C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Всі будівельні роботи (поточний ремонт, капітальний ремонт, реконструкція чи нове будівництво) мають подаватись по 1-му напрямку</w:t>
            </w:r>
          </w:p>
          <w:p w:rsidR="00FE22EA" w:rsidRPr="00103825" w:rsidRDefault="00FE22EA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222222"/>
                <w:sz w:val="24"/>
                <w:szCs w:val="24"/>
              </w:rPr>
              <w:t>Чи буде прийняте до розгляду клопотання розміщене на фірмовому бланку ради, викладене в табличній формі відповідно до зразку шляхом розміщення відповідей на питання в правій колонці таблиці? Кого зазначати в якості адресанта в клопотанні? 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Так, все вірно щодо оформлення. Адресатом є Міністерство цифрової трансформації України, вул. Ділова, 24, м. Київ, 03150</w:t>
            </w:r>
          </w:p>
        </w:tc>
      </w:tr>
      <w:tr w:rsidR="00FE22EA" w:rsidRPr="00103825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103825">
              <w:rPr>
                <w:rFonts w:asciiTheme="minorHAnsi" w:hAnsiTheme="minorHAnsi"/>
                <w:sz w:val="24"/>
                <w:szCs w:val="24"/>
              </w:rPr>
              <w:t>Чи може бути заявником сільська рада, а не виконавчий комітет? Хто підписує клопотання: голова ради чи головуючий виконавчого комітету? Кого зазначати в якості адресанта в гарантійному листі?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Відповідно до п. 6 Порядку та умов клопотання для отримання субвенції та матеріали подаються до </w:t>
            </w:r>
            <w:proofErr w:type="spellStart"/>
            <w:r w:rsidRPr="00103825">
              <w:rPr>
                <w:rFonts w:asciiTheme="minorHAnsi" w:hAnsiTheme="minorHAnsi"/>
                <w:color w:val="222222"/>
                <w:sz w:val="24"/>
                <w:szCs w:val="24"/>
              </w:rPr>
              <w:t>Мінцифри</w:t>
            </w:r>
            <w:proofErr w:type="spellEnd"/>
            <w:r w:rsidRPr="00103825">
              <w:rPr>
                <w:rFonts w:asciiTheme="minorHAnsi" w:hAnsiTheme="minorHAnsi"/>
                <w:color w:val="222222"/>
                <w:sz w:val="24"/>
                <w:szCs w:val="24"/>
              </w:rPr>
              <w:t> </w:t>
            </w:r>
            <w:r w:rsidRPr="00103825">
              <w:rPr>
                <w:rFonts w:asciiTheme="minorHAnsi" w:hAnsiTheme="minorHAnsi"/>
                <w:bCs/>
                <w:color w:val="222222"/>
                <w:sz w:val="24"/>
                <w:szCs w:val="24"/>
              </w:rPr>
              <w:t>виконавчими органами</w:t>
            </w:r>
            <w:r w:rsidRPr="00103825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 сільських, селищних, міських рад, військово-цивільними адміністраціями. Тобто, подає клопотання виконавчий комітет та підписує відповідний головуючий виконкому. Адресатом так само є 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>Міністерство цифрової трансформації України, вул. Ділова, 24, м. Київ, 03150</w:t>
            </w:r>
          </w:p>
        </w:tc>
      </w:tr>
      <w:tr w:rsidR="00FE22EA" w:rsidRPr="006E61B9" w:rsidTr="00611D3C">
        <w:tc>
          <w:tcPr>
            <w:tcW w:w="7372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>Копія письмового звіту експертної організації за результатами експертизи проекту будівництва центру, у якому підтверджено, у тому числі, врахування вимог щодо доступності для осіб з інвалідністю та інших маломобільних груп населення згідно з державними будівельними нормами. Щ</w:t>
            </w:r>
            <w:r w:rsidR="000F2BB6" w:rsidRPr="00103825">
              <w:rPr>
                <w:rFonts w:asciiTheme="minorHAnsi" w:hAnsiTheme="minorHAnsi"/>
                <w:sz w:val="24"/>
                <w:szCs w:val="24"/>
              </w:rPr>
              <w:t>о</w:t>
            </w:r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це і де його брати? Бо експертиза і проект вже готові</w:t>
            </w:r>
          </w:p>
        </w:tc>
        <w:tc>
          <w:tcPr>
            <w:tcW w:w="8513" w:type="dxa"/>
          </w:tcPr>
          <w:p w:rsidR="00FE22EA" w:rsidRPr="00103825" w:rsidRDefault="00FC1558" w:rsidP="00611D3C">
            <w:pPr>
              <w:jc w:val="both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103825">
              <w:rPr>
                <w:rFonts w:asciiTheme="minorHAnsi" w:hAnsiTheme="minorHAnsi"/>
                <w:sz w:val="24"/>
                <w:szCs w:val="24"/>
              </w:rPr>
              <w:t xml:space="preserve">Якщо проект, а також звіт про проведення його експертизи вже готові, то необхідно перевірити чи враховані у цьому проекті вимоги щодо доступності для осіб з інвалідністю та інших маломобільних груп населення згідно з державними будівельними нормами. Якщо </w:t>
            </w:r>
            <w:proofErr w:type="spellStart"/>
            <w:r w:rsidR="00F118CE" w:rsidRPr="00103825">
              <w:rPr>
                <w:rFonts w:asciiTheme="minorHAnsi" w:hAnsiTheme="minorHAnsi"/>
                <w:sz w:val="24"/>
                <w:szCs w:val="24"/>
                <w:lang w:val="ru-RU"/>
              </w:rPr>
              <w:t>це</w:t>
            </w:r>
            <w:proofErr w:type="spellEnd"/>
            <w:r w:rsidRPr="00103825">
              <w:rPr>
                <w:rFonts w:asciiTheme="minorHAnsi" w:hAnsiTheme="minorHAnsi"/>
                <w:sz w:val="24"/>
                <w:szCs w:val="24"/>
              </w:rPr>
              <w:t xml:space="preserve"> так і відображено у експертному звіті, то можна їх подавати</w:t>
            </w:r>
          </w:p>
        </w:tc>
        <w:bookmarkStart w:id="2" w:name="_GoBack"/>
        <w:bookmarkEnd w:id="2"/>
      </w:tr>
    </w:tbl>
    <w:p w:rsidR="00FE22EA" w:rsidRPr="006E61B9" w:rsidRDefault="00FE22EA" w:rsidP="00611D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FE22EA" w:rsidRPr="006E61B9">
      <w:pgSz w:w="16838" w:h="11906" w:orient="landscape"/>
      <w:pgMar w:top="1418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EA"/>
    <w:rsid w:val="000F2BB6"/>
    <w:rsid w:val="00103825"/>
    <w:rsid w:val="00104FC7"/>
    <w:rsid w:val="00194AD2"/>
    <w:rsid w:val="003167A5"/>
    <w:rsid w:val="00372F52"/>
    <w:rsid w:val="003A4898"/>
    <w:rsid w:val="003A652C"/>
    <w:rsid w:val="004B1B50"/>
    <w:rsid w:val="004F7CFC"/>
    <w:rsid w:val="00526AA7"/>
    <w:rsid w:val="00611D3C"/>
    <w:rsid w:val="0063064D"/>
    <w:rsid w:val="0066103B"/>
    <w:rsid w:val="006E61B9"/>
    <w:rsid w:val="007B228F"/>
    <w:rsid w:val="007D3833"/>
    <w:rsid w:val="00820837"/>
    <w:rsid w:val="008378F5"/>
    <w:rsid w:val="00893CC1"/>
    <w:rsid w:val="00894EB2"/>
    <w:rsid w:val="009053EB"/>
    <w:rsid w:val="00965DBB"/>
    <w:rsid w:val="009E0188"/>
    <w:rsid w:val="00AF3C88"/>
    <w:rsid w:val="00B87059"/>
    <w:rsid w:val="00BD41B0"/>
    <w:rsid w:val="00C5064C"/>
    <w:rsid w:val="00C96379"/>
    <w:rsid w:val="00CF29B8"/>
    <w:rsid w:val="00D11B10"/>
    <w:rsid w:val="00D142B7"/>
    <w:rsid w:val="00D435B0"/>
    <w:rsid w:val="00D9082C"/>
    <w:rsid w:val="00DA3C95"/>
    <w:rsid w:val="00DD3EF1"/>
    <w:rsid w:val="00E21F44"/>
    <w:rsid w:val="00E35648"/>
    <w:rsid w:val="00E35D14"/>
    <w:rsid w:val="00ED388A"/>
    <w:rsid w:val="00F118CE"/>
    <w:rsid w:val="00F15D58"/>
    <w:rsid w:val="00F21B55"/>
    <w:rsid w:val="00F731A4"/>
    <w:rsid w:val="00FC1558"/>
    <w:rsid w:val="00FD42E1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D813"/>
  <w15:docId w15:val="{20A5FFAD-A786-40C5-894F-ABC01B5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-scope">
    <w:name w:val="style-scope"/>
    <w:basedOn w:val="a0"/>
    <w:rsid w:val="00FE15F7"/>
  </w:style>
  <w:style w:type="table" w:styleId="a4">
    <w:name w:val="Table Grid"/>
    <w:basedOn w:val="a1"/>
    <w:uiPriority w:val="39"/>
    <w:rsid w:val="0075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770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7705"/>
    <w:rPr>
      <w:color w:val="605E5C"/>
      <w:shd w:val="clear" w:color="auto" w:fill="E1DFDD"/>
    </w:r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thedigita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er.diia.gov.ua/centr-di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er.diia.gov.ua/centr-di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er.diia.gov.ua/library/informacia-pro-nacionalnij-proekt-z-rozvitku-pidpriemnictva-inicijovanij-mincif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8rTWIMzhEm7C/mZCDt2CVzL8SQ==">AMUW2mWaluYczb+uScsOBEajJi1jCJlOaz4/CW0xglrnO3C4t5tDpt2lbquWnhR/Xfp6QQtEN0O/aU2iWh4KvvuX542eY6GAxinxT0+YuPk/n8WSHCzyG+CdRPF2HeT/90jFohpoI8m9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13615</Words>
  <Characters>7761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</dc:creator>
  <cp:lastModifiedBy>admin</cp:lastModifiedBy>
  <cp:revision>6</cp:revision>
  <dcterms:created xsi:type="dcterms:W3CDTF">2022-02-01T08:44:00Z</dcterms:created>
  <dcterms:modified xsi:type="dcterms:W3CDTF">2022-02-01T16:01:00Z</dcterms:modified>
</cp:coreProperties>
</file>