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EA" w:rsidRPr="006E61B9" w:rsidRDefault="00FE22EA" w:rsidP="00611D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a9"/>
        <w:tblW w:w="15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2"/>
        <w:gridCol w:w="8513"/>
      </w:tblGrid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3825">
              <w:rPr>
                <w:rFonts w:asciiTheme="minorHAnsi" w:hAnsiTheme="minorHAnsi"/>
                <w:b/>
                <w:sz w:val="24"/>
                <w:szCs w:val="24"/>
              </w:rPr>
              <w:t>Запитання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3825">
              <w:rPr>
                <w:rFonts w:asciiTheme="minorHAnsi" w:hAnsiTheme="minorHAnsi"/>
                <w:b/>
                <w:sz w:val="24"/>
                <w:szCs w:val="24"/>
              </w:rPr>
              <w:t>Відповідь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​Громада із кількістю жителів </w:t>
            </w:r>
            <w:r w:rsidR="00894EB2" w:rsidRPr="00103825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>менше</w:t>
            </w:r>
            <w:r w:rsidRPr="00103825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 10 тис. може подавати клопотання для отримання субвенції?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25">
              <w:rPr>
                <w:rFonts w:asciiTheme="minorHAnsi" w:hAnsiTheme="minorHAnsi" w:cstheme="minorHAnsi"/>
                <w:sz w:val="24"/>
                <w:szCs w:val="24"/>
              </w:rPr>
              <w:t xml:space="preserve">Подати клопотання на отримання коштів субвенції мають право всі без </w:t>
            </w:r>
            <w:r w:rsidR="00894EB2" w:rsidRPr="00103825">
              <w:rPr>
                <w:rFonts w:asciiTheme="minorHAnsi" w:hAnsiTheme="minorHAnsi" w:cstheme="minorHAnsi"/>
                <w:sz w:val="24"/>
                <w:szCs w:val="24"/>
              </w:rPr>
              <w:t>винятку</w:t>
            </w:r>
            <w:r w:rsidRPr="00103825">
              <w:rPr>
                <w:rFonts w:asciiTheme="minorHAnsi" w:hAnsiTheme="minorHAnsi" w:cstheme="minorHAnsi"/>
                <w:sz w:val="24"/>
                <w:szCs w:val="24"/>
              </w:rPr>
              <w:t xml:space="preserve"> громади</w:t>
            </w:r>
          </w:p>
        </w:tc>
      </w:tr>
      <w:tr w:rsidR="00894EB2" w:rsidRPr="00103825" w:rsidTr="00611D3C">
        <w:tc>
          <w:tcPr>
            <w:tcW w:w="7372" w:type="dxa"/>
          </w:tcPr>
          <w:p w:rsidR="00894EB2" w:rsidRPr="00130BAF" w:rsidRDefault="00894EB2" w:rsidP="00611D3C">
            <w:pPr>
              <w:jc w:val="both"/>
              <w:rPr>
                <w:rFonts w:asciiTheme="minorHAnsi" w:hAnsiTheme="minorHAnsi" w:cs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 xml:space="preserve">У громаді ще нема </w:t>
            </w:r>
            <w:proofErr w:type="spellStart"/>
            <w:r w:rsidRPr="00130BAF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ЦНАПу</w:t>
            </w:r>
            <w:proofErr w:type="spellEnd"/>
            <w:r w:rsidRPr="00130BAF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 xml:space="preserve"> взагалі – то чи можна подавати заявку одразу і на будівництво і на його подальше облаштування?  Якщо можна – то це робиться у 1 спільній заявці (у 1 пакеті документів) чи окремими?</w:t>
            </w:r>
          </w:p>
        </w:tc>
        <w:tc>
          <w:tcPr>
            <w:tcW w:w="8513" w:type="dxa"/>
          </w:tcPr>
          <w:p w:rsidR="00894EB2" w:rsidRPr="00130BAF" w:rsidRDefault="00894EB2" w:rsidP="00611D3C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 w:cstheme="minorHAnsi"/>
                <w:color w:val="222222"/>
                <w:sz w:val="24"/>
                <w:szCs w:val="24"/>
                <w:highlight w:val="cyan"/>
                <w:shd w:val="clear" w:color="auto" w:fill="FFFFFF"/>
              </w:rPr>
              <w:t>Якщо громада потребує створення ЦНАП, яке включає в себе і будівництво/реконструкцію/капремонт і забезпечення обладнанням, то подаються 2 окремі клопотання, за 1-м напрямом (будівництво) і за 2-м напрямом (обладнання), оскільки Порядком та умовами надання субвенції передбачене різне мінімальне співфінансування за цими напрямками - 10% і 30% відповідно. 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894EB2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Чи мають у 2022 році</w:t>
            </w:r>
            <w:r w:rsidR="00FC1558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ЦНАП, що підпада</w:t>
            </w: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ють</w:t>
            </w:r>
            <w:r w:rsidR="00FC1558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під пункт 61 плану заходів з реалізації Стратегії реформування державного управління України на 2019-2021 роки</w:t>
            </w: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, пріоритетне право на отримання субвенції</w:t>
            </w:r>
            <w:r w:rsidR="00FC1558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8513" w:type="dxa"/>
          </w:tcPr>
          <w:p w:rsidR="00FE22EA" w:rsidRPr="00130BAF" w:rsidRDefault="00894EB2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Ні, відповідно, до змін внесених до Порядку та умов надання субвенції з державного бюджету місцевим бюджетам на розвиток мережі центрів надання адміністративних послуг відповідно до постанови КМУ від 19.01.2022 № 38, такий чинник пріоритетності у 2022 році відсутній і не буде враховуватись при розподілі субвенції.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Що означає IDF ЦНАП громади і де його отримати?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При першому поданні квартального звіту від ЦНАП, йому присвоюють IDF ода чи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Мінцифра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. Якщо </w:t>
            </w:r>
            <w:r w:rsidR="00C96379" w:rsidRPr="00103825">
              <w:rPr>
                <w:rFonts w:asciiTheme="minorHAnsi" w:hAnsiTheme="minorHAnsi"/>
                <w:sz w:val="24"/>
                <w:szCs w:val="24"/>
              </w:rPr>
              <w:t>ЦНАП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не знає свого IDF, то вони мають звернутись до структурного підрозділу ОДА, що займається відповідним питанням</w:t>
            </w:r>
          </w:p>
        </w:tc>
      </w:tr>
      <w:tr w:rsidR="00526AA7" w:rsidRPr="00103825" w:rsidTr="00611D3C">
        <w:tc>
          <w:tcPr>
            <w:tcW w:w="7372" w:type="dxa"/>
          </w:tcPr>
          <w:p w:rsidR="00526AA7" w:rsidRPr="00130BAF" w:rsidRDefault="00526AA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Чи може бути розпорядником коштів субвенції комунальне підприємство на балансі якого знаходиться приміщення яке планується реконструювати під ЦНАП?</w:t>
            </w:r>
          </w:p>
        </w:tc>
        <w:tc>
          <w:tcPr>
            <w:tcW w:w="8513" w:type="dxa"/>
          </w:tcPr>
          <w:p w:rsidR="00526AA7" w:rsidRPr="00130BAF" w:rsidRDefault="00E21F44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Ні, р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озпорядник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ами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субвенції за місцевими бюджетами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можуть бути лише 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виконавч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і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органи сільських, селищних, міських рад, військово-цивільн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і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адміністраці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ї</w:t>
            </w:r>
          </w:p>
        </w:tc>
      </w:tr>
      <w:tr w:rsidR="00E21F44" w:rsidRPr="00103825" w:rsidTr="00611D3C">
        <w:tc>
          <w:tcPr>
            <w:tcW w:w="7372" w:type="dxa"/>
          </w:tcPr>
          <w:p w:rsidR="00E21F44" w:rsidRPr="00103825" w:rsidRDefault="00E21F44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В як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і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з пріор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и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тетів входить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="009E018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2-й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напрямок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облаштування</w:t>
            </w:r>
            <w:r w:rsidR="009E018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/обладнання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ЦНАП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E21F44" w:rsidRPr="00103825" w:rsidRDefault="00E21F44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Відповідно до пункту 11 </w:t>
            </w:r>
            <w:r w:rsidR="009E0188" w:rsidRPr="00103825">
              <w:rPr>
                <w:rFonts w:asciiTheme="minorHAnsi" w:hAnsiTheme="minorHAnsi"/>
                <w:sz w:val="24"/>
                <w:szCs w:val="24"/>
              </w:rPr>
              <w:t>П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орядку та умов, за напрямком облаштування/обладнання є можливість отримати усі пріоритети, визначені </w:t>
            </w:r>
            <w:r w:rsidR="009E0188" w:rsidRPr="00103825">
              <w:rPr>
                <w:rFonts w:asciiTheme="minorHAnsi" w:hAnsiTheme="minorHAnsi"/>
                <w:sz w:val="24"/>
                <w:szCs w:val="24"/>
              </w:rPr>
              <w:t>підпунктами 1, 2, 4, 5, 6, 7 цього пункту</w:t>
            </w:r>
          </w:p>
        </w:tc>
      </w:tr>
      <w:tr w:rsidR="00E21F44" w:rsidRPr="00103825" w:rsidTr="00611D3C">
        <w:tc>
          <w:tcPr>
            <w:tcW w:w="7372" w:type="dxa"/>
          </w:tcPr>
          <w:p w:rsidR="00D142B7" w:rsidRPr="009E5B88" w:rsidRDefault="00D142B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9E5B88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Я</w:t>
            </w:r>
            <w:r w:rsidRPr="009E5B88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кщо рішення про утворення ЦНАП прийнято у 2021р., але крім рішення більше нічого не зроблено, тобто фактично ЦНАП не утворений. чи буде враховано таким громадам пріоритет №4 якщо рішення минулорічне?</w:t>
            </w:r>
          </w:p>
          <w:p w:rsidR="00E21F44" w:rsidRPr="009E5B88" w:rsidRDefault="00E21F44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9E5B88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Я</w:t>
            </w:r>
            <w:r w:rsidRPr="009E5B88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кщо є рішення про утворення ЦНАП у травні 2021, але ЦНАП ще не функціонує. Як правильно заповнити додаток</w:t>
            </w:r>
            <w:r w:rsidRPr="009E5B88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8513" w:type="dxa"/>
          </w:tcPr>
          <w:p w:rsidR="003167A5" w:rsidRPr="009E5B88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9E5B88">
              <w:rPr>
                <w:rFonts w:asciiTheme="minorHAnsi" w:hAnsiTheme="minorHAnsi"/>
                <w:sz w:val="24"/>
                <w:szCs w:val="24"/>
                <w:highlight w:val="cyan"/>
              </w:rPr>
              <w:t>Так, але якщо при поданні звітності зі статичного моніторингу зазначено, що ЦНАП не діючий і послуги у ньому фактично не надавались станом на 01.10.2021</w:t>
            </w:r>
          </w:p>
          <w:p w:rsidR="00E21F44" w:rsidRPr="009E5B88" w:rsidRDefault="00E21F44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9E5B88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У такому випадку необхідно </w:t>
            </w:r>
            <w:r w:rsidR="00D11B10" w:rsidRPr="009E5B88">
              <w:rPr>
                <w:rFonts w:asciiTheme="minorHAnsi" w:hAnsiTheme="minorHAnsi"/>
                <w:sz w:val="24"/>
                <w:szCs w:val="24"/>
                <w:highlight w:val="cyan"/>
              </w:rPr>
              <w:t>навпроти Пріоритету 4 проставити «Так», при цьому необхідно щоб ця інформація співпадала з інформацією, яка подається ОДА як звітність зі статичного моніторингу</w:t>
            </w:r>
          </w:p>
        </w:tc>
      </w:tr>
      <w:tr w:rsidR="00D11B10" w:rsidRPr="00103825" w:rsidTr="00611D3C">
        <w:tc>
          <w:tcPr>
            <w:tcW w:w="7372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 оформлюється рішення про будівництво (це рішення про затвердження ПКД, чи якесь окреме рішення)?</w:t>
            </w:r>
          </w:p>
        </w:tc>
        <w:tc>
          <w:tcPr>
            <w:tcW w:w="8513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мається на увазі саме рішення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про затвердження ПКД</w:t>
            </w:r>
          </w:p>
        </w:tc>
      </w:tr>
      <w:tr w:rsidR="00D11B10" w:rsidRPr="00103825" w:rsidTr="00611D3C">
        <w:tc>
          <w:tcPr>
            <w:tcW w:w="7372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С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убвенція на паспортне обладнання, аби в ЦНАП був весь спектр послуг, має місце?</w:t>
            </w:r>
          </w:p>
        </w:tc>
        <w:tc>
          <w:tcPr>
            <w:tcW w:w="8513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</w:t>
            </w:r>
            <w:r w:rsidR="00FD42E1" w:rsidRPr="00103825">
              <w:rPr>
                <w:rFonts w:asciiTheme="minorHAnsi" w:hAnsiTheme="minorHAnsi"/>
                <w:sz w:val="24"/>
                <w:szCs w:val="24"/>
              </w:rPr>
              <w:t>підпунктом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2 пункту 4 Порядку та умов передбачено спрямування субвенції, зокрема, на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зокрема обладнанням для видачі паспортних документів, посвідчення водія та реєстрації транспортних засобів</w:t>
            </w:r>
          </w:p>
        </w:tc>
      </w:tr>
      <w:tr w:rsidR="00FD42E1" w:rsidRPr="00103825" w:rsidTr="00611D3C">
        <w:tc>
          <w:tcPr>
            <w:tcW w:w="7372" w:type="dxa"/>
          </w:tcPr>
          <w:p w:rsidR="00FD42E1" w:rsidRPr="00103825" w:rsidRDefault="00FD42E1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Якщо інформація про населення в додатку підтягується не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коректно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, розбіжність в +30 тис. осіб</w:t>
            </w:r>
          </w:p>
        </w:tc>
        <w:tc>
          <w:tcPr>
            <w:tcW w:w="8513" w:type="dxa"/>
          </w:tcPr>
          <w:p w:rsidR="00FD42E1" w:rsidRPr="00103825" w:rsidRDefault="00AF3C8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Інформація підтягується із даних, які використовуються на порталі децентралізації</w:t>
            </w:r>
          </w:p>
        </w:tc>
      </w:tr>
      <w:tr w:rsidR="00FD42E1" w:rsidRPr="00103825" w:rsidTr="00611D3C">
        <w:tc>
          <w:tcPr>
            <w:tcW w:w="7372" w:type="dxa"/>
          </w:tcPr>
          <w:p w:rsidR="00FD42E1" w:rsidRPr="00103825" w:rsidRDefault="00FD42E1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и можна подавати на реконструкцію віддалених робочих місць (напрямок 1)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  <w:r w:rsidR="005868AF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="005868AF" w:rsidRPr="005868AF">
              <w:rPr>
                <w:rFonts w:asciiTheme="minorHAnsi" w:hAnsiTheme="minorHAnsi"/>
                <w:color w:val="111111"/>
                <w:sz w:val="24"/>
                <w:szCs w:val="24"/>
              </w:rPr>
              <w:t>Як подавати клопотання, якщо потребується капремонт декількох ВРМ?</w:t>
            </w:r>
          </w:p>
        </w:tc>
        <w:tc>
          <w:tcPr>
            <w:tcW w:w="8513" w:type="dxa"/>
          </w:tcPr>
          <w:p w:rsidR="00FD42E1" w:rsidRDefault="00FD42E1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можна</w:t>
            </w:r>
            <w:r w:rsidR="005868A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868AF" w:rsidRPr="00103825" w:rsidRDefault="005868AF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Необхідно подавати окремі клопотання із відповідною проектною документацією щодо кожного ВРМ, які планується ремонтувати</w:t>
            </w:r>
          </w:p>
        </w:tc>
      </w:tr>
      <w:tr w:rsidR="00893CC1" w:rsidRPr="00103825" w:rsidTr="00611D3C">
        <w:tc>
          <w:tcPr>
            <w:tcW w:w="7372" w:type="dxa"/>
          </w:tcPr>
          <w:p w:rsidR="00893CC1" w:rsidRPr="00103825" w:rsidRDefault="00893CC1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Яка сума співфінансування місцевого бюджету повинна бути за напрямком 2?</w:t>
            </w:r>
          </w:p>
        </w:tc>
        <w:tc>
          <w:tcPr>
            <w:tcW w:w="8513" w:type="dxa"/>
          </w:tcPr>
          <w:p w:rsidR="00893CC1" w:rsidRPr="00103825" w:rsidRDefault="00893CC1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Мінімальне співфінансування на 2-м напрямком (облаштування/обладнання) 30% від загальної вартості</w:t>
            </w:r>
          </w:p>
        </w:tc>
      </w:tr>
      <w:tr w:rsidR="0063064D" w:rsidRPr="00103825" w:rsidTr="00611D3C">
        <w:tc>
          <w:tcPr>
            <w:tcW w:w="7372" w:type="dxa"/>
          </w:tcPr>
          <w:p w:rsidR="00AF3C88" w:rsidRPr="005868AF" w:rsidRDefault="00AF3C8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За 1 напрямком експертний висновок потрібно подавати лише на нове будівництво чи і на реконструкцію, реставрацію, капітальний ремонт будівель та приміщень, які в тому числі передбачені цим напрямком?</w:t>
            </w:r>
          </w:p>
          <w:p w:rsidR="0063064D" w:rsidRPr="005868AF" w:rsidRDefault="0063064D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Потрібно прое</w:t>
            </w:r>
            <w:r w:rsidR="00D435B0"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к</w:t>
            </w: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тну до</w:t>
            </w: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к</w:t>
            </w: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ументацію на капітальний ремонт,</w:t>
            </w: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</w:t>
            </w: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чи кошторисну документацію на капітальний ремонт?</w:t>
            </w:r>
          </w:p>
          <w:p w:rsidR="00AF3C88" w:rsidRPr="005868AF" w:rsidRDefault="00AF3C8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63064D" w:rsidRPr="005868AF" w:rsidRDefault="0063064D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sz w:val="24"/>
                <w:szCs w:val="24"/>
                <w:highlight w:val="cyan"/>
              </w:rPr>
              <w:t>В</w:t>
            </w:r>
            <w:r w:rsidRPr="005868AF">
              <w:rPr>
                <w:rFonts w:asciiTheme="minorHAnsi" w:hAnsiTheme="minorHAnsi"/>
                <w:sz w:val="24"/>
                <w:szCs w:val="24"/>
                <w:highlight w:val="cyan"/>
              </w:rPr>
              <w:t>ідповідно до п. 10 Порядку затвердження проектів будівництва і проведення їх експертизи (постанова КМУ № 560) обов'язковій експертизі підлягають проекти будівництва об'єктів,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якщо їх кошторисна вартість перевищує 300 тис. гривень, - щодо кошторисної частини проекту будівництва.</w:t>
            </w:r>
          </w:p>
          <w:p w:rsidR="0063064D" w:rsidRPr="005868AF" w:rsidRDefault="0063064D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sz w:val="24"/>
                <w:szCs w:val="24"/>
                <w:highlight w:val="cyan"/>
              </w:rPr>
              <w:t>Тобто, щодо проектів загальна вартість яких не перевищує 300 тис. грн експертиза ПКД не вимагається.</w:t>
            </w:r>
          </w:p>
        </w:tc>
      </w:tr>
      <w:tr w:rsidR="0063064D" w:rsidRPr="00103825" w:rsidTr="00611D3C">
        <w:tc>
          <w:tcPr>
            <w:tcW w:w="7372" w:type="dxa"/>
          </w:tcPr>
          <w:p w:rsidR="0063064D" w:rsidRPr="003E2A45" w:rsidRDefault="003167A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Якщо ПКД і на ремонт і на обладнання (без техніки), тоді суму </w:t>
            </w:r>
            <w:proofErr w:type="spellStart"/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проєкту</w:t>
            </w:r>
            <w:proofErr w:type="spellEnd"/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на ремонт вказувати за вирахуванням вартості обладнання, яка вказана в ПКД?</w:t>
            </w:r>
          </w:p>
        </w:tc>
        <w:tc>
          <w:tcPr>
            <w:tcW w:w="8513" w:type="dxa"/>
          </w:tcPr>
          <w:p w:rsidR="0063064D" w:rsidRPr="003E2A45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Так, вірно, можна подати таке ПКД, але зазначити яка частина вартості стосується саме  будівництва і подати її окремим клопотанням з мінімальним співфінансуванням 10%, щодо частини ПКД, що стосується обладнання подавати окреме клопотання за 2-м напрямком, де мінімальне співфінансування 30%</w:t>
            </w:r>
          </w:p>
        </w:tc>
      </w:tr>
      <w:tr w:rsidR="0063064D" w:rsidRPr="00103825" w:rsidTr="00611D3C">
        <w:tc>
          <w:tcPr>
            <w:tcW w:w="7372" w:type="dxa"/>
          </w:tcPr>
          <w:p w:rsidR="0063064D" w:rsidRPr="003E2A45" w:rsidRDefault="003167A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Чи можна одночасно подавати клопотання на тех</w:t>
            </w:r>
            <w:r w:rsidR="00D9082C"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н</w:t>
            </w: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іку для ВРМ і паспортне/водійське обладнання?</w:t>
            </w:r>
          </w:p>
          <w:p w:rsidR="003167A5" w:rsidRPr="003E2A45" w:rsidRDefault="003167A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​Якщо ЦНАП і 4 ВРМ, то потрібно робити окремо кожне клопотання чи через кому в одному</w:t>
            </w:r>
            <w:r w:rsidR="00D435B0"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8513" w:type="dxa"/>
          </w:tcPr>
          <w:p w:rsidR="0063064D" w:rsidRPr="003E2A45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Так, можна, одним клопотанням за 2-м напрямком субвенції</w:t>
            </w:r>
          </w:p>
          <w:p w:rsidR="003167A5" w:rsidRPr="003E2A45" w:rsidRDefault="00D9082C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Потрібно ч</w:t>
            </w:r>
            <w:r w:rsidR="003167A5"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ерез кому зазначити інформацію про ЦНАП і ВРМ</w:t>
            </w:r>
          </w:p>
        </w:tc>
      </w:tr>
      <w:tr w:rsidR="003167A5" w:rsidRPr="00103825" w:rsidTr="00611D3C">
        <w:tc>
          <w:tcPr>
            <w:tcW w:w="7372" w:type="dxa"/>
          </w:tcPr>
          <w:p w:rsidR="003167A5" w:rsidRPr="003E2A45" w:rsidRDefault="00D9082C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З</w:t>
            </w: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більшилася кількість </w:t>
            </w: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ВРМ</w:t>
            </w: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в громаді з 2 до 6. На закупівлю обладнання необхідно вказувати на кожне </w:t>
            </w:r>
            <w:r w:rsidR="00D435B0"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ВРМ</w:t>
            </w: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, чи одне клопотання + 6 додатків на кожне </w:t>
            </w:r>
            <w:r w:rsidR="00D435B0"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ВРМ?</w:t>
            </w:r>
          </w:p>
        </w:tc>
        <w:tc>
          <w:tcPr>
            <w:tcW w:w="8513" w:type="dxa"/>
          </w:tcPr>
          <w:p w:rsidR="003167A5" w:rsidRPr="003E2A45" w:rsidRDefault="00CF29B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Подається загальна вартість обладнання для усіх 6 ВРМ одним клопотанням разом з одним додатком</w:t>
            </w:r>
          </w:p>
        </w:tc>
      </w:tr>
      <w:tr w:rsidR="00CF29B8" w:rsidRPr="00103825" w:rsidTr="00611D3C">
        <w:tc>
          <w:tcPr>
            <w:tcW w:w="7372" w:type="dxa"/>
          </w:tcPr>
          <w:p w:rsidR="00CF29B8" w:rsidRPr="003E2A45" w:rsidRDefault="00CF29B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lastRenderedPageBreak/>
              <w:t>Якщо в 2021 році були витрачені кошти на виготовлення ПКД (195</w:t>
            </w:r>
            <w:r w:rsidR="00D435B0"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</w:t>
            </w: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тис.</w:t>
            </w:r>
            <w:r w:rsidR="00D435B0"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 грн</w:t>
            </w:r>
            <w:r w:rsidRPr="003E2A45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), цю суму треба вираховувати з суми співфінансування?</w:t>
            </w:r>
          </w:p>
        </w:tc>
        <w:tc>
          <w:tcPr>
            <w:tcW w:w="8513" w:type="dxa"/>
          </w:tcPr>
          <w:p w:rsidR="00CF29B8" w:rsidRPr="003E2A45" w:rsidRDefault="00CF29B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Співфінансуванням вважаються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тільки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кошти, що оплачені у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2022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році. Тобто якщо заплатили за ПКД у 2021 і виготовлення ПКД прописано у кошторисі до </w:t>
            </w:r>
            <w:proofErr w:type="spellStart"/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проєкту</w:t>
            </w:r>
            <w:proofErr w:type="spellEnd"/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- то це 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>зазначається у рядку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20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Додатку до клопотання</w:t>
            </w:r>
            <w:r w:rsidRPr="003E2A45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"Кошти місцевого бюджету в 2021 році та раніше, тис. грн"</w:t>
            </w:r>
          </w:p>
        </w:tc>
      </w:tr>
      <w:tr w:rsidR="00D9082C" w:rsidRPr="00103825" w:rsidTr="00611D3C">
        <w:tc>
          <w:tcPr>
            <w:tcW w:w="7372" w:type="dxa"/>
          </w:tcPr>
          <w:p w:rsidR="00D9082C" w:rsidRPr="005868AF" w:rsidRDefault="00F21B5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Я</w:t>
            </w: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кщо громада не встигає виготовити ПКД до 01.03.2022. Чи є сенс подавати пакет документів після 01.03.2022? Чи краще на наступний рік?</w:t>
            </w:r>
          </w:p>
        </w:tc>
        <w:tc>
          <w:tcPr>
            <w:tcW w:w="8513" w:type="dxa"/>
          </w:tcPr>
          <w:p w:rsidR="00D9082C" w:rsidRPr="005868AF" w:rsidRDefault="00F21B55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sz w:val="24"/>
                <w:szCs w:val="24"/>
                <w:highlight w:val="cyan"/>
              </w:rPr>
              <w:t>Подати клопотання із повним пакетом документів необхідно до 01.03.2022, документи, які будуть надіслані пізніше, не будуть прийняті до розгляду Комісією</w:t>
            </w:r>
          </w:p>
        </w:tc>
      </w:tr>
      <w:tr w:rsidR="003A4898" w:rsidRPr="00103825" w:rsidTr="00611D3C">
        <w:tc>
          <w:tcPr>
            <w:tcW w:w="7372" w:type="dxa"/>
          </w:tcPr>
          <w:p w:rsidR="003A4898" w:rsidRPr="005868AF" w:rsidRDefault="003A489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Облаштування будівель та приміщень, де розміщений центр (другий напрямок) передбачає ремонтні роботи у ЦНАП? Якщо так, то які саме види ремонтних робіт сюди включені</w:t>
            </w:r>
            <w:r w:rsidR="00D435B0" w:rsidRPr="005868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8513" w:type="dxa"/>
          </w:tcPr>
          <w:p w:rsidR="003A4898" w:rsidRPr="005868AF" w:rsidRDefault="003A489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5868AF">
              <w:rPr>
                <w:rFonts w:asciiTheme="minorHAnsi" w:hAnsiTheme="minorHAnsi"/>
                <w:sz w:val="24"/>
                <w:szCs w:val="24"/>
                <w:highlight w:val="cyan"/>
              </w:rPr>
              <w:t>Клопотання щодо будь-яких ремонтних робіт необхідно подавати за 1-м напрямком субвенції</w:t>
            </w:r>
          </w:p>
        </w:tc>
      </w:tr>
      <w:tr w:rsidR="00104FC7" w:rsidRPr="00103825" w:rsidTr="00611D3C">
        <w:tc>
          <w:tcPr>
            <w:tcW w:w="7372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кщо реалізація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проєкту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буде на території всієї громади,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куди включені декілька населених пунктів, пункт 5 таблиці, як здій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с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нювати запис цьому пункті?</w:t>
            </w:r>
          </w:p>
        </w:tc>
        <w:tc>
          <w:tcPr>
            <w:tcW w:w="8513" w:type="dxa"/>
          </w:tcPr>
          <w:p w:rsidR="00104FC7" w:rsidRPr="00103825" w:rsidRDefault="0066103B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Зазначати всі населені пункти територіальної громади, де буде реалізовуватись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проєкт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через кому</w:t>
            </w:r>
          </w:p>
        </w:tc>
      </w:tr>
      <w:tr w:rsidR="00104FC7" w:rsidRPr="00103825" w:rsidTr="00611D3C">
        <w:tc>
          <w:tcPr>
            <w:tcW w:w="7372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​Якщо субвенція подається на ВРМ чи ТП, у клопотанні де назва ЦНАП громади та IDF ЦНАП громади вказувати відповідну інформацію про конкретний ВРМ чи ТП чи все ж таки назву ЦНАП?</w:t>
            </w:r>
          </w:p>
        </w:tc>
        <w:tc>
          <w:tcPr>
            <w:tcW w:w="8513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Можна зазначити через кому, а можна інформацію про конкретний ТП чи ВРМ. Якщо їх ще не створено, то тоді назва і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IDF ЦНАП</w:t>
            </w:r>
          </w:p>
        </w:tc>
      </w:tr>
      <w:tr w:rsidR="00104FC7" w:rsidRPr="00103825" w:rsidTr="00611D3C">
        <w:tc>
          <w:tcPr>
            <w:tcW w:w="7372" w:type="dxa"/>
          </w:tcPr>
          <w:p w:rsidR="00104FC7" w:rsidRPr="00E840F4" w:rsidRDefault="00104FC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E840F4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Якщо в минулому році ми отримали субве</w:t>
            </w:r>
            <w:r w:rsidR="00D435B0" w:rsidRPr="00E840F4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н</w:t>
            </w:r>
            <w:r w:rsidRPr="00E840F4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цію на закупівлю паспортної установки чи можемо ми пр</w:t>
            </w:r>
            <w:r w:rsidRPr="00E840F4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е</w:t>
            </w:r>
            <w:r w:rsidRPr="00E840F4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тендувати на субвенцію в цьому році?</w:t>
            </w:r>
          </w:p>
        </w:tc>
        <w:tc>
          <w:tcPr>
            <w:tcW w:w="8513" w:type="dxa"/>
          </w:tcPr>
          <w:p w:rsidR="00104FC7" w:rsidRPr="00E840F4" w:rsidRDefault="00104FC7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E840F4">
              <w:rPr>
                <w:rFonts w:asciiTheme="minorHAnsi" w:hAnsiTheme="minorHAnsi"/>
                <w:sz w:val="24"/>
                <w:szCs w:val="24"/>
                <w:highlight w:val="cyan"/>
              </w:rPr>
              <w:t>Так, обмежень щодо подання клопотань для громад, які отримували субвенцію минулого року, немає</w:t>
            </w:r>
          </w:p>
        </w:tc>
      </w:tr>
      <w:tr w:rsidR="00AF3C88" w:rsidRPr="00103825" w:rsidTr="00611D3C">
        <w:tc>
          <w:tcPr>
            <w:tcW w:w="7372" w:type="dxa"/>
          </w:tcPr>
          <w:p w:rsidR="00AF3C88" w:rsidRPr="00E840F4" w:rsidRDefault="00AF3C8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E840F4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За першим напрямком передбачено подачу матеріалів щодо використаних коштів та виконаних робіт у попередніх бюджетних періодах. Що саме це за матеріали?</w:t>
            </w:r>
          </w:p>
        </w:tc>
        <w:tc>
          <w:tcPr>
            <w:tcW w:w="8513" w:type="dxa"/>
          </w:tcPr>
          <w:p w:rsidR="00AF3C88" w:rsidRPr="00E840F4" w:rsidRDefault="00AF3C8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E840F4">
              <w:rPr>
                <w:rFonts w:asciiTheme="minorHAnsi" w:hAnsiTheme="minorHAnsi"/>
                <w:sz w:val="24"/>
                <w:szCs w:val="24"/>
                <w:highlight w:val="cyan"/>
              </w:rPr>
              <w:t>Це можуть бути акти виконаних робіт, звіти про використання коштів, будь-які інші документи, які підтверджують суму витрачених бюджетних коштів та показують реальний обсяг виконаних робіт</w:t>
            </w:r>
          </w:p>
        </w:tc>
      </w:tr>
      <w:tr w:rsidR="00CF29B8" w:rsidRPr="00103825" w:rsidTr="00611D3C">
        <w:tc>
          <w:tcPr>
            <w:tcW w:w="7372" w:type="dxa"/>
          </w:tcPr>
          <w:p w:rsidR="00CF29B8" w:rsidRPr="00E840F4" w:rsidRDefault="00CF29B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E840F4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Чи потрібно завіряти копії документів проектів будівництва і як саме?</w:t>
            </w:r>
          </w:p>
        </w:tc>
        <w:tc>
          <w:tcPr>
            <w:tcW w:w="8513" w:type="dxa"/>
          </w:tcPr>
          <w:p w:rsidR="00CF29B8" w:rsidRPr="00E840F4" w:rsidRDefault="00CF29B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E840F4">
              <w:rPr>
                <w:rFonts w:asciiTheme="minorHAnsi" w:hAnsiTheme="minorHAnsi"/>
                <w:sz w:val="24"/>
                <w:szCs w:val="24"/>
                <w:highlight w:val="cyan"/>
              </w:rPr>
              <w:t>Ні, достатньо при поданні документів в електронній формі</w:t>
            </w:r>
            <w:r w:rsidR="003A4898" w:rsidRPr="00E840F4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накласти КЕП голови на усі матеріали, що додаються до клопотання</w:t>
            </w:r>
          </w:p>
        </w:tc>
      </w:tr>
      <w:tr w:rsidR="00FD42E1" w:rsidRPr="00103825" w:rsidTr="00611D3C">
        <w:tc>
          <w:tcPr>
            <w:tcW w:w="7372" w:type="dxa"/>
          </w:tcPr>
          <w:p w:rsidR="00FD42E1" w:rsidRPr="00103825" w:rsidRDefault="00372F52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Якщо населення менше 10 тис.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осіб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кимись іншими напрямками можливо перейти в пріоритетні проекти?</w:t>
            </w:r>
          </w:p>
        </w:tc>
        <w:tc>
          <w:tcPr>
            <w:tcW w:w="8513" w:type="dxa"/>
          </w:tcPr>
          <w:p w:rsidR="00FD42E1" w:rsidRPr="00103825" w:rsidRDefault="00372F52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окрім кількості населення пунктом 11 Порядку та умов передбачено ще 6 можливих чинників пріоритетності на 2022 рік 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До кого звертатись за консультаціями щодо подання клопотання?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Державний експерт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Балабко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Максим, balabko@thedigital.gov.ua</w:t>
            </w:r>
          </w:p>
        </w:tc>
      </w:tr>
      <w:tr w:rsidR="00D11B10" w:rsidRPr="00103825" w:rsidTr="00611D3C">
        <w:tc>
          <w:tcPr>
            <w:tcW w:w="7372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У громаді працює діючий ЦНАП. Чи можна використати субвенцію на перетворення ЦНАП в Цент Дія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6E61B9" w:rsidRPr="00103825" w:rsidRDefault="006E61B9" w:rsidP="006E61B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Відповідно до умов надання субвенції,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спрямування субвенції здійснюється на створення, приріст або оновлення основних фондів комунальної форми власності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11B10" w:rsidRPr="00103825" w:rsidRDefault="006E61B9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Водночас</w:t>
            </w:r>
            <w:r w:rsidR="00D11B10" w:rsidRPr="00103825">
              <w:rPr>
                <w:rFonts w:asciiTheme="minorHAnsi" w:hAnsiTheme="minorHAnsi"/>
                <w:sz w:val="24"/>
                <w:szCs w:val="24"/>
              </w:rPr>
              <w:t>, можна подати клопотання щодо облаштування/обладнання діючого центру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стосовно закупівлі меблів або техніки </w:t>
            </w:r>
            <w:r w:rsidR="00D11B10" w:rsidRPr="00103825">
              <w:rPr>
                <w:rFonts w:asciiTheme="minorHAnsi" w:hAnsiTheme="minorHAnsi"/>
                <w:sz w:val="24"/>
                <w:szCs w:val="24"/>
              </w:rPr>
              <w:t xml:space="preserve">для покращення умов надання </w:t>
            </w:r>
            <w:r w:rsidR="00D11B10" w:rsidRPr="0010382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послуг та розширення переліку послуг відповідно до вимог до Дія Центрів: </w:t>
            </w:r>
            <w:hyperlink r:id="rId5" w:history="1">
              <w:r w:rsidR="00D11B10" w:rsidRPr="00103825">
                <w:rPr>
                  <w:rStyle w:val="a7"/>
                  <w:rFonts w:asciiTheme="minorHAnsi" w:hAnsiTheme="minorHAnsi"/>
                  <w:sz w:val="24"/>
                  <w:szCs w:val="24"/>
                </w:rPr>
                <w:t>https://center.diia.gov.ua/centr-diia</w:t>
              </w:r>
            </w:hyperlink>
          </w:p>
        </w:tc>
      </w:tr>
      <w:tr w:rsidR="00E21F44" w:rsidRPr="00103825" w:rsidTr="00611D3C">
        <w:tc>
          <w:tcPr>
            <w:tcW w:w="7372" w:type="dxa"/>
          </w:tcPr>
          <w:p w:rsidR="00E21F44" w:rsidRPr="00103825" w:rsidRDefault="00E21F44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 xml:space="preserve">Якщо за проектну документацію (капремонт)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оплачено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у 2021 році, то у клопотанні фінансування розподіляти на два роки: 2021 і 2022?</w:t>
            </w:r>
          </w:p>
        </w:tc>
        <w:tc>
          <w:tcPr>
            <w:tcW w:w="8513" w:type="dxa"/>
          </w:tcPr>
          <w:p w:rsidR="00E21F44" w:rsidRPr="00103825" w:rsidRDefault="00DD3EF1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Якщо вартість складання ПКД передбачено у зведеному кошторисі - то потрібно зазначити у додатку до клопотання в стрічці 20. Кошти місцевого бюджету в 2021 році та раніше, тис. грн. В самому клопотанні необхідно вказувати лише кошти 2022 року, а оскільки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проплата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відбулась у 2021 - то її включати не потрібно.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Як дізнатися чи отримали у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наше клопотання та чи </w:t>
            </w:r>
            <w:r w:rsidR="00F15D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прийнято воно до розгляду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Інформація щодо клопотань, які офіційно надійшли до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>, та стан їх опрацювання</w:t>
            </w:r>
            <w:r w:rsidR="00E35D14" w:rsidRPr="00103825">
              <w:rPr>
                <w:rFonts w:asciiTheme="minorHAnsi" w:hAnsiTheme="minorHAnsi"/>
                <w:sz w:val="24"/>
                <w:szCs w:val="24"/>
              </w:rPr>
              <w:t>, буде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розміщен</w:t>
            </w:r>
            <w:r w:rsidR="00E35D14" w:rsidRPr="00103825">
              <w:rPr>
                <w:rFonts w:asciiTheme="minorHAnsi" w:hAnsiTheme="minorHAnsi"/>
                <w:sz w:val="24"/>
                <w:szCs w:val="24"/>
              </w:rPr>
              <w:t>а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4EB2" w:rsidRPr="00103825">
              <w:rPr>
                <w:rFonts w:asciiTheme="minorHAnsi" w:hAnsiTheme="minorHAnsi"/>
                <w:sz w:val="24"/>
                <w:szCs w:val="24"/>
              </w:rPr>
              <w:t>на Пла</w:t>
            </w:r>
            <w:r w:rsidR="00BD41B0" w:rsidRPr="00103825">
              <w:rPr>
                <w:rFonts w:asciiTheme="minorHAnsi" w:hAnsiTheme="minorHAnsi"/>
                <w:sz w:val="24"/>
                <w:szCs w:val="24"/>
              </w:rPr>
              <w:t>т</w:t>
            </w:r>
            <w:r w:rsidR="00894EB2" w:rsidRPr="00103825">
              <w:rPr>
                <w:rFonts w:asciiTheme="minorHAnsi" w:hAnsiTheme="minorHAnsi"/>
                <w:sz w:val="24"/>
                <w:szCs w:val="24"/>
              </w:rPr>
              <w:t>формі Дія Центрів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4EB2" w:rsidRPr="00103825">
              <w:rPr>
                <w:rFonts w:asciiTheme="minorHAnsi" w:hAnsiTheme="minorHAnsi"/>
                <w:sz w:val="24"/>
                <w:szCs w:val="24"/>
              </w:rPr>
              <w:t xml:space="preserve">у розділі </w:t>
            </w:r>
            <w:r w:rsidR="00E35D14" w:rsidRPr="00103825">
              <w:rPr>
                <w:rFonts w:asciiTheme="minorHAnsi" w:hAnsiTheme="minorHAnsi"/>
                <w:sz w:val="24"/>
                <w:szCs w:val="24"/>
              </w:rPr>
              <w:t xml:space="preserve">Підтримка розвитку центрів на сторінці Субвенція на розвиток мережі ЦНАП. Оновлюватись інформація буде раз на добу або дві оскільки працівникам </w:t>
            </w:r>
            <w:proofErr w:type="spellStart"/>
            <w:r w:rsidR="00E35D14" w:rsidRPr="00103825">
              <w:rPr>
                <w:rFonts w:asciiTheme="minorHAnsi" w:hAnsiTheme="minorHAnsi"/>
                <w:sz w:val="24"/>
                <w:szCs w:val="24"/>
              </w:rPr>
              <w:t>Мінцифри</w:t>
            </w:r>
            <w:proofErr w:type="spellEnd"/>
            <w:r w:rsidR="00E35D14" w:rsidRPr="00103825">
              <w:rPr>
                <w:rFonts w:asciiTheme="minorHAnsi" w:hAnsiTheme="minorHAnsi"/>
                <w:sz w:val="24"/>
                <w:szCs w:val="24"/>
              </w:rPr>
              <w:t xml:space="preserve"> потрібен час на опрацювання великої кількості клопотань, які надходять.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Чи можна подавати декілька проектів</w:t>
            </w:r>
            <w:r w:rsidR="00ED388A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будівництва, наприклад один для ЦНАП, другий для ТП</w:t>
            </w: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Так, але у двох </w:t>
            </w:r>
            <w:r w:rsidR="00ED388A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окремих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клопотаннях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DA3C95" w:rsidP="00611D3C">
            <w:pPr>
              <w:jc w:val="both"/>
              <w:rPr>
                <w:rFonts w:asciiTheme="minorHAnsi" w:hAnsiTheme="minorHAnsi"/>
                <w:iCs/>
                <w:color w:val="7030A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</w:t>
            </w:r>
            <w:r w:rsidR="00FC15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​кого року повинні бути ПКД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Відповідно до п. 17 Порядку та умов надання субвенції проектна документація для об’єктів будівництва готується відповідно до вимог Порядку затвердження проектів будівництва і проведення їх експертизи, затвердженого постановою Кабінету Міністрів України від 11 травня 2011 р. № 560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​На момент подання клопотання повинна бути ПКД?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​Якщо ПКД в стадії розроблення, подавати заявку маємо право?</w:t>
            </w:r>
          </w:p>
          <w:p w:rsidR="003167A5" w:rsidRPr="00103825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Я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кщо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Проєкт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в стадії розробки?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15D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На момент подання клопотання 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має бути ПКД</w:t>
            </w:r>
            <w:r w:rsidR="003167A5" w:rsidRPr="0010382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E61B9" w:rsidRPr="00103825">
              <w:rPr>
                <w:rFonts w:asciiTheme="minorHAnsi" w:hAnsiTheme="minorHAnsi"/>
                <w:sz w:val="24"/>
                <w:szCs w:val="24"/>
              </w:rPr>
              <w:t xml:space="preserve">яке подається разом з ПКД </w:t>
            </w:r>
            <w:r w:rsidR="003167A5" w:rsidRPr="00103825">
              <w:rPr>
                <w:rFonts w:asciiTheme="minorHAnsi" w:hAnsiTheme="minorHAnsi"/>
                <w:sz w:val="24"/>
                <w:szCs w:val="24"/>
              </w:rPr>
              <w:t>до 01.03.2022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. Відповідно до п.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8 Порядку та умов надання субвенції за напрямом “будівництво центрів” необхідно додати копію проекту будівництва центру та розрахунки вартості будівництва центру, деталізовані за видами робіт та роками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​</w:t>
            </w:r>
            <w:r w:rsidR="00F15D58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Т</w:t>
            </w: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ехніко-економічне обґрунтування - чи є якісь вимоги до нього?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​</w:t>
            </w:r>
            <w:r w:rsidR="00DA3C95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ТЕО складається у довільній формі, в ньому зазначаються потреба у конкретному облаштуванні/обладнанні, проблема, яку має громада у зв'язку із відсутністю цього, неможливість її розв’язання самостійно або іншим шляхом, очікувані результати у разі отримання субвенції (соціально-економічний ефект)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У цьому документі необхідно </w:t>
            </w:r>
            <w:r w:rsidR="00DA3C95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детально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розписати всі фінансові складники </w:t>
            </w:r>
            <w:proofErr w:type="spellStart"/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проєкту</w:t>
            </w:r>
            <w:proofErr w:type="spellEnd"/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(кількість обладнання та ціна кожної окремої одиниці, а також орієнтовна вартість з наведенням джерела для порівняння</w:t>
            </w:r>
            <w:r w:rsidR="00DA3C95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)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Рекомендації щодо оформле</w:t>
            </w:r>
            <w:r w:rsidR="00DA3C95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н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ня ТЕО розміщено </w:t>
            </w:r>
            <w:r w:rsidR="00DA3C95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на Платформі Дія Центрів у розділі «Корисні матеріали»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Чи є якась орієнтовна вартість проекту з обладнанням по друку посвідчень</w:t>
            </w:r>
            <w:r w:rsidR="00130BAF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 xml:space="preserve"> водія</w:t>
            </w: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/паспортів, та у кого про це можна дізнатися?</w:t>
            </w:r>
          </w:p>
          <w:p w:rsidR="00FE22EA" w:rsidRPr="00130BAF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lastRenderedPageBreak/>
              <w:t xml:space="preserve">Вартість обладнання визначається із урахуванням ринкових цін на таке обладнання, зокрема ціни на таке обладнання можна знайти на веб-сайті </w:t>
            </w:r>
            <w:hyperlink r:id="rId6">
              <w:r w:rsidRPr="00130BAF">
                <w:rPr>
                  <w:rFonts w:asciiTheme="minorHAnsi" w:hAnsiTheme="minorHAnsi"/>
                  <w:color w:val="0563C1"/>
                  <w:sz w:val="24"/>
                  <w:szCs w:val="24"/>
                  <w:highlight w:val="cyan"/>
                  <w:u w:val="single"/>
                </w:rPr>
                <w:t>https://prozorro.gov.ua/</w:t>
              </w:r>
            </w:hyperlink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, можна також зв’язатись із постачальниками такого обладнання та дізнатись у них актуальні ціни на 202</w:t>
            </w:r>
            <w:r w:rsidR="00ED388A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2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рік.</w:t>
            </w:r>
          </w:p>
          <w:p w:rsidR="00FE22EA" w:rsidRPr="00130BAF" w:rsidRDefault="00DA3C95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Орієнтовна в</w:t>
            </w:r>
            <w:r w:rsidR="00FC1558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артість комплексу для оформлення та видачі посвідчень водія і реєстрації транспортних засобів, його монтаж та підключення складає приблизно 264 тис. грн;</w:t>
            </w:r>
          </w:p>
          <w:p w:rsidR="00FE22EA" w:rsidRPr="00130BAF" w:rsidRDefault="00DA3C95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Орієнтовна вартість</w:t>
            </w:r>
            <w:r w:rsidR="00FC1558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робочої станції для оформлення та видачі паспортних документів, взяття біометричних даних і реєстрації місць проживання складає приблизно 310 тис. грн.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lastRenderedPageBreak/>
              <w:t>​Які вимоги до облаштування центру позначенням "Центр Дії"?</w:t>
            </w:r>
          </w:p>
          <w:p w:rsidR="00FE22EA" w:rsidRPr="00130BAF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FE22EA" w:rsidRPr="00130BAF" w:rsidRDefault="00F15D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З вимогами до Дія Центрів можна ознайомитись за посиланням: </w:t>
            </w:r>
            <w:hyperlink r:id="rId7" w:history="1">
              <w:r w:rsidRPr="00130BAF">
                <w:rPr>
                  <w:rStyle w:val="a7"/>
                  <w:rFonts w:asciiTheme="minorHAnsi" w:hAnsiTheme="minorHAnsi"/>
                  <w:sz w:val="24"/>
                  <w:szCs w:val="24"/>
                  <w:highlight w:val="cyan"/>
                </w:rPr>
                <w:t>https://center.diia.gov.ua/centr-diia</w:t>
              </w:r>
            </w:hyperlink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. Позначення «Центр Дії» затверджено 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Примірни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м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Регламент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ом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ЦНАП - https://zakon.rada.gov.ua/laws/show/588-2013-%D0%BF#Text , приклади та ТЗ до необхідних візуальних елементів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розміщено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за посиланням https://cutt.ly/cOrBSyd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​Чи можна використати субвенцію на капітальний ремонт віддалених робочих місць ЦНАП?</w:t>
            </w:r>
          </w:p>
        </w:tc>
        <w:tc>
          <w:tcPr>
            <w:tcW w:w="8513" w:type="dxa"/>
          </w:tcPr>
          <w:p w:rsidR="00FE22EA" w:rsidRPr="00103825" w:rsidRDefault="00ED388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ED388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Хто проводить тендери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>, ОДА чи громада?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ED388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Г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ромада отрим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у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є кошти з Державного бюджету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і проводить тендерні закупівля товарів/робіт/послуг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​А якщо співфінансування не по "кишені" громаді?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Відповідно до п. 5 Порядку та умов надання субвенції умовами надання субвенції є, зокрема, співфінансування у поточному бюджетному році з місцевих бюджетів та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 xml:space="preserve">інших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позабюджетних коштів, не заборонених законодавством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Субвенція може надаватися усім ЦНАП чи тільки тим, в яких не утворено </w:t>
            </w:r>
            <w:proofErr w:type="spellStart"/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ЦНАПи</w:t>
            </w:r>
            <w:proofErr w:type="spellEnd"/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 взагалі?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​</w:t>
            </w: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Подати клопотання на отримання коштів субвенції мають право всі без винятку громади</w:t>
            </w:r>
            <w:r w:rsidR="009053EB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, проте пріоритетне право на отримання субвенції у 2022 році мають саме громади, які не мали ЦНАП станом на 1 жовтня 2021 року.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​Чи можна отримати субвенцію на добудову ЦНАП, який має 70% готовність будівництва?</w:t>
            </w:r>
          </w:p>
          <w:p w:rsidR="00FE22EA" w:rsidRPr="00130BAF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Подати клопотання на отримання коштів субвенції мають право всі без винятку громади незалежно від стадії будівництва ЦНАП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​Чи є обмеження в сумі субвенції</w:t>
            </w:r>
            <w:r w:rsidR="009053EB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, яку може отримати громада</w:t>
            </w: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?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​</w:t>
            </w:r>
            <w:r w:rsidR="003167A5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Я</w:t>
            </w:r>
            <w:r w:rsidR="003167A5"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кий максимальний розмір субвенції на один ЦНАП</w:t>
            </w:r>
          </w:p>
          <w:p w:rsidR="00FE22EA" w:rsidRPr="00130BAF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 xml:space="preserve">Подати клопотання на отримання коштів субвенції мають право всі без винятку громади, незалежно від загальної суми </w:t>
            </w:r>
            <w:proofErr w:type="spellStart"/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проєкту</w:t>
            </w:r>
            <w:proofErr w:type="spellEnd"/>
            <w:r w:rsidR="003167A5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. Обмежень по сумі на один ЦНАП немає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Позабюджетні кошти, як частка співфінансування повинна бути профінансована через цільовий фонд місцевого бюджету? 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Відповідно до п. 5 Порядку та умов надання субвенції умовами надання субвенції є, зокрема, співфінансування у поточному бюджетному році з місцевих бюджетів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>та позабюджетних коштів, не заборонених законодавством, мінімально  10% - за напрямком будівництво та 30% за напрямком облаштування/обладнання.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Задля спрощення роботи із Казначейством рекомендовано позабюджетні кошти проводити через цільовий фонд місцевого бюджету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lastRenderedPageBreak/>
              <w:t>​Пункт 8 Порядку, а саме: "копія проекту будівництва центру", Проект в двох томах з кресленнями, подавати всю копію?</w:t>
            </w:r>
          </w:p>
          <w:p w:rsidR="00FE22EA" w:rsidRPr="00130BAF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Так, всю копію. Звертаємо увагу на можливість подати клопотання та матеріали в електронній формі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Одним із документів, які додаються до клопотання на отримання субвенції, є копія рішення відповідної ради про утворення центру.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​Рішенням ради утворювалась структура та виконавчі органи ради, яким створено і ЦНАП. Можете надати роз’яснення з цього питання?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Необхідно надати рішення про створення ЦНАП або витяг із рішення, яким створено ЦНАП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​ПКД повністю чи можна подати зведений кошторис?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118CE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Потрібно подавати ПКД повністю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​В якому виді подавати гарантійний лист щодо забезпечення </w:t>
            </w:r>
            <w:r w:rsidR="004B1B5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спів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фінансуванням?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Гарантійний лист складається у довільній формі, в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ньому обов’язково зазначається обсяг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співфінансування, яке громада готова надати у разі отримання субвенції у поточному році у відсотковому значенні від загальної вартості проекту, а також сума співфінансування у тис. грн. Гарантійний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лист підписується головою громади.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​</w:t>
            </w:r>
            <w:r w:rsidR="000F2BB6"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М</w:t>
            </w: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ає бути рішення про співфінансування, чи достатньо гарантійного листа?</w:t>
            </w:r>
          </w:p>
          <w:p w:rsidR="00FE22EA" w:rsidRPr="00130BAF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Достатньо гарантійного листа щодо співфінансування у разі отримання субвенції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  <w:t>​Можна детальніше щодо електронної подачі заявок? Чи контакти, за якими можна проконсультуватись?</w:t>
            </w:r>
          </w:p>
          <w:p w:rsidR="00FE22EA" w:rsidRPr="00130BAF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  <w:highlight w:val="cyan"/>
              </w:rPr>
            </w:pPr>
          </w:p>
        </w:tc>
        <w:tc>
          <w:tcPr>
            <w:tcW w:w="8513" w:type="dxa"/>
          </w:tcPr>
          <w:p w:rsidR="00FE22EA" w:rsidRPr="00130BAF" w:rsidRDefault="00FC1558" w:rsidP="00611D3C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color w:val="000000"/>
                <w:sz w:val="24"/>
                <w:szCs w:val="24"/>
                <w:highlight w:val="cyan"/>
              </w:rPr>
              <w:t>Клопотання та матеріали приймаються</w:t>
            </w:r>
            <w:r w:rsidR="004B1B50" w:rsidRPr="00130BAF">
              <w:rPr>
                <w:rFonts w:asciiTheme="minorHAnsi" w:hAnsiTheme="minorHAnsi"/>
                <w:color w:val="000000"/>
                <w:sz w:val="24"/>
                <w:szCs w:val="24"/>
                <w:highlight w:val="cyan"/>
              </w:rPr>
              <w:t xml:space="preserve"> через систему електронного документообігу (СЕВ ОВВ), та</w:t>
            </w:r>
            <w:r w:rsidRPr="00130BAF">
              <w:rPr>
                <w:rFonts w:asciiTheme="minorHAnsi" w:hAnsiTheme="minorHAnsi"/>
                <w:color w:val="000000"/>
                <w:sz w:val="24"/>
                <w:szCs w:val="24"/>
                <w:highlight w:val="cyan"/>
              </w:rPr>
              <w:t xml:space="preserve"> в електронній формі з використанням електронного підпису</w:t>
            </w:r>
            <w:r w:rsidR="004B1B50" w:rsidRPr="00130BAF">
              <w:rPr>
                <w:rFonts w:asciiTheme="minorHAnsi" w:hAnsiTheme="minorHAnsi"/>
                <w:color w:val="000000"/>
                <w:sz w:val="24"/>
                <w:szCs w:val="24"/>
                <w:highlight w:val="cyan"/>
              </w:rPr>
              <w:t xml:space="preserve"> (КЕП) </w:t>
            </w:r>
            <w:r w:rsidRPr="00130BAF">
              <w:rPr>
                <w:rFonts w:asciiTheme="minorHAnsi" w:hAnsiTheme="minorHAnsi"/>
                <w:color w:val="000000"/>
                <w:sz w:val="24"/>
                <w:szCs w:val="24"/>
                <w:highlight w:val="cyan"/>
              </w:rPr>
              <w:t xml:space="preserve">на електронну адресу </w:t>
            </w:r>
            <w:hyperlink r:id="rId8">
              <w:r w:rsidRPr="00130BAF">
                <w:rPr>
                  <w:rFonts w:asciiTheme="minorHAnsi" w:hAnsiTheme="minorHAnsi"/>
                  <w:color w:val="0563C1"/>
                  <w:sz w:val="24"/>
                  <w:szCs w:val="24"/>
                  <w:highlight w:val="cyan"/>
                  <w:u w:val="single"/>
                </w:rPr>
                <w:t>hello@thedigital.gov.ua</w:t>
              </w:r>
            </w:hyperlink>
            <w:r w:rsidRPr="00130BAF">
              <w:rPr>
                <w:rFonts w:asciiTheme="minorHAnsi" w:hAnsiTheme="minorHAnsi"/>
                <w:color w:val="000000"/>
                <w:sz w:val="24"/>
                <w:szCs w:val="24"/>
                <w:highlight w:val="cyan"/>
              </w:rPr>
              <w:t>.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Сервіс підписання документів електронним підписом тепер доступний на порталі Дія: sign.diia.gov.ua/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Також ознайомитись із інформацією щодо підписання документів КЕП та подивитись освітній серіал на цю тему можна за посиланнями: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https://bit.ly/34pmGC4</w:t>
            </w:r>
          </w:p>
          <w:p w:rsidR="00FE22EA" w:rsidRPr="00130BAF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130BAF">
              <w:rPr>
                <w:rFonts w:asciiTheme="minorHAnsi" w:hAnsiTheme="minorHAnsi"/>
                <w:sz w:val="24"/>
                <w:szCs w:val="24"/>
                <w:highlight w:val="cyan"/>
              </w:rPr>
              <w:t>https://osvita.diia.gov.ua/courses/digital-signature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​Які саме підтверджувальні документи щодо каналу конфіденційного зв’язку між центром і Єдиним ДДР потрібно подати?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Підтверджувальні документи (якщо вже встановлено канал)/гарантійний лист (в якому буде зазначено, що відповідним рішенням місцевої ради буде затверджено у бюджеті громади кошти на проведення каналу) щодо організації каналу конфіденційного зв’язку між центром і Єдиним державним демографічним реєстром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​Якщо проект виготовлений в 2021 році, чи буде він дійсний в 202</w:t>
            </w:r>
            <w:r w:rsidR="004B1B5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2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році, бо фактично встигнути зробити уточнення до 01.03. - це також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заскладно</w:t>
            </w:r>
            <w:proofErr w:type="spellEnd"/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Проект не обов'язково має бути виготовлений у рік подання клопотання, водночас він має відповідати усім вимогам законодавства та бути актуальним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​Вартість каналу підключення паспортного обладнання теж може включатись до субвенції?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Ні, ця закупівля здійснюється повністю за кошти громади (після отримання фінансування за рахунок субвенції)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А у які терміни можна розраховувати на прийняття рішення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щодо фінансування проектів?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Після завершення етапу відбору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(до 01.03.2022),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прийняття рішення Комісією, підготовки та прийняття розпорядження КМУ про розподіл коштів субвенції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​Рішенням ради утворювалась структура та виконавчі органи ради, яким створено і ЦНАП, чи можна вважати дане рішення рішенням про утворення ЦНАП?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якщо у відповідному рішенні також зазначено про утворення ЦНАП, у такому випадку необхідно надати витяг із цього рішення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​Які вимоги для місця консультації підприємців?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194AD2" w:rsidRPr="00103825" w:rsidRDefault="003A652C" w:rsidP="00611D3C">
            <w:pPr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Інформація щодо </w:t>
            </w:r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місць для консультацій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</w:rPr>
              <w:t>підпрємців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 у форматі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</w:rPr>
              <w:t>Дія.Бізнес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</w:rPr>
              <w:t>розміщен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а</w:t>
            </w:r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посиланням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="00194AD2" w:rsidRPr="00103825">
                <w:rPr>
                  <w:rStyle w:val="a7"/>
                  <w:rFonts w:asciiTheme="minorHAnsi" w:hAnsiTheme="minorHAnsi"/>
                  <w:sz w:val="24"/>
                  <w:szCs w:val="24"/>
                  <w:lang w:val="ru-RU"/>
                </w:rPr>
                <w:t>https://center.diia.gov.ua/library/informacia-pro-nacionalnij-proekt-z-rozvitku-pidpriemnictva-inicijovanij-mincifri</w:t>
              </w:r>
            </w:hyperlink>
          </w:p>
          <w:p w:rsidR="00FE22EA" w:rsidRPr="00103825" w:rsidRDefault="00194AD2" w:rsidP="00F118CE">
            <w:pPr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виникненя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додаткових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питань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можна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звернутись</w:t>
            </w:r>
            <w:proofErr w:type="spellEnd"/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за електронною </w:t>
            </w:r>
            <w:proofErr w:type="spellStart"/>
            <w:proofErr w:type="gramStart"/>
            <w:r w:rsidR="00FC1558" w:rsidRPr="00103825">
              <w:rPr>
                <w:rFonts w:asciiTheme="minorHAnsi" w:hAnsiTheme="minorHAnsi"/>
                <w:sz w:val="24"/>
                <w:szCs w:val="24"/>
              </w:rPr>
              <w:t>адресою</w:t>
            </w:r>
            <w:proofErr w:type="spellEnd"/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 -</w:t>
            </w:r>
            <w:proofErr w:type="gramEnd"/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business@thedigital.gov.ua</w:t>
            </w:r>
          </w:p>
        </w:tc>
      </w:tr>
      <w:tr w:rsidR="00FE22EA" w:rsidRPr="00103825" w:rsidTr="00611D3C">
        <w:tc>
          <w:tcPr>
            <w:tcW w:w="7372" w:type="dxa"/>
            <w:shd w:val="clear" w:color="auto" w:fill="auto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А якщо є вже діючий Договір з УСС з 2019 року для оформлення паспортів - цього достатньо?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</w:t>
            </w:r>
          </w:p>
        </w:tc>
        <w:tc>
          <w:tcPr>
            <w:tcW w:w="8513" w:type="dxa"/>
            <w:shd w:val="clear" w:color="auto" w:fill="auto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У такому випадку необхідно надати  копію такого договору та/або гарантійний лист в якому буде зазначено, що відповідним рішенням місцевої ради буде затверджено у бюджеті громади кошти на проведення каналу конфіденційного зв’язку між центром і Єдиним державним демографічним реєстром, а також проведення первинної державної експертизи для отримання атестата відповідності комплексної системи захисту інформації, зареєстрованого в Адміністрації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Держспецзв’язку</w:t>
            </w:r>
            <w:bookmarkStart w:id="0" w:name="_GoBack"/>
            <w:bookmarkEnd w:id="0"/>
            <w:proofErr w:type="spellEnd"/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​Якщо реконструкція будівлі підпадає під категорію складності СС1, то дозвіл на початок будівельних робіт не передбачено. Тоді його подавати не потрібно?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Порядком та умовами не встановлено обов`язку подавати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дозвіл на початок будівельних робіт для отримання субвенції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​Чи можливо облаштувати нові ВРМ місця, якщо вони передбачені Регламентом ЦНАП, але фактично ще не створені (немає коштів), але можливе створення при отриманні субвенції, звичайно зі співфінансуванням?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можна подати клопотання щодо облаштування/обладнання ВРМ, за умови прийняття рішення про його створення </w:t>
            </w:r>
            <w:r w:rsidR="006E61B9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або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надання гарантійного листа про його створення.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Чи можуть громади, що брали участь у міжнародних проектах на створення ЦНАП, подавати заявки на створення нових ВРМ?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подаватись на отримання субвенції можна для покриття інших потреб ЦНАП чи ВРМ, крім тих, які були покриті за рахунок міжнародної технічної допомоги.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Чи можна вважати облаштування ЦНАП -  придбання вікон, дверей, кондиціонеру?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118CE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Ні, це 1-й напрямок субвенції, якщо кошторисна вартість робіт складає менше 300 тис. грн – потрібно надати замість ПКД та експертизи лише дефектний акт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Чи передбачає другий напрямок отримання субвенції проведення поточного ремонту і якщо так чи потрібно виготовляти ПКД?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118CE" w:rsidRPr="00103825" w:rsidRDefault="00F118CE" w:rsidP="00F118C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Всі будівельні роботи (поточний ремонт, капітальний ремонт, реконструкція чи нове будівництво) мають подаватись по 1-му напрямку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>Чи буде прийняте до розгляду клопотання розміщене на фірмовому бланку ради, викладене в табличній формі відповідно до зразку шляхом розміщення відповідей на питання в правій колонці таблиці? Кого зазначати в якості адресанта в клопотанні? 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все вірно щодо оформлення. Адресатом є Міністерство цифрової трансформації України, вул. Ділова, 24, м. Київ, 03150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103825">
              <w:rPr>
                <w:rFonts w:asciiTheme="minorHAnsi" w:hAnsiTheme="minorHAnsi"/>
                <w:sz w:val="24"/>
                <w:szCs w:val="24"/>
              </w:rPr>
              <w:t>Чи може бути заявником сільська рада, а не виконавчий комітет? Хто підписує клопотання: голова ради чи головуючий виконавчого комітету? Кого зазначати в якості адресанта в гарантійному листі?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Відповідно до п. 6 Порядку та умов клопотання для отримання субвенції та матеріали подаються до </w:t>
            </w:r>
            <w:proofErr w:type="spellStart"/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> </w:t>
            </w:r>
            <w:r w:rsidRPr="00103825">
              <w:rPr>
                <w:rFonts w:asciiTheme="minorHAnsi" w:hAnsiTheme="minorHAnsi"/>
                <w:bCs/>
                <w:color w:val="222222"/>
                <w:sz w:val="24"/>
                <w:szCs w:val="24"/>
              </w:rPr>
              <w:t>виконавчими органами</w:t>
            </w:r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 сільських, селищних, міських рад, військово-цивільними адміністраціями. Тобто, подає клопотання виконавчий комітет та підписує відповідний головуючий виконкому. Адресатом так само є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Міністерство цифрової трансформації України, вул. Ділова, 24, м. Київ, 03150</w:t>
            </w:r>
          </w:p>
        </w:tc>
      </w:tr>
      <w:tr w:rsidR="00FE22EA" w:rsidRPr="006E61B9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Копія письмового звіту експертної організації за результатами експертизи проекту будівництва центру, у якому підтверджено, у тому числі, врахування вимог щодо доступності для осіб з інвалідністю та інших маломобільних груп населення згідно з державними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>будівельними нормами. Щ</w:t>
            </w:r>
            <w:r w:rsidR="000F2BB6" w:rsidRPr="00103825">
              <w:rPr>
                <w:rFonts w:asciiTheme="minorHAnsi" w:hAnsiTheme="minorHAnsi"/>
                <w:sz w:val="24"/>
                <w:szCs w:val="24"/>
              </w:rPr>
              <w:t>о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це і де його брати? Бо експертиза і проект вже готові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Якщо проект, а також звіт про проведення його експертизи вже готові, то необхідно перевірити чи враховані у цьому проекті вимоги щодо доступності для осіб з інвалідністю та інших маломобільних груп населення згідно з державними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будівельними нормами. Якщо </w:t>
            </w:r>
            <w:proofErr w:type="spellStart"/>
            <w:r w:rsidR="00F118CE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це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так і відображено у експертному звіті, то можна їх подавати</w:t>
            </w:r>
          </w:p>
        </w:tc>
      </w:tr>
    </w:tbl>
    <w:p w:rsidR="00FE22EA" w:rsidRPr="009E5B88" w:rsidRDefault="00FE22EA" w:rsidP="00611D3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sectPr w:rsidR="00FE22EA" w:rsidRPr="009E5B88">
      <w:pgSz w:w="16838" w:h="11906" w:orient="landscape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A"/>
    <w:rsid w:val="000F2BB6"/>
    <w:rsid w:val="00103825"/>
    <w:rsid w:val="00104FC7"/>
    <w:rsid w:val="00130BAF"/>
    <w:rsid w:val="00194AD2"/>
    <w:rsid w:val="003167A5"/>
    <w:rsid w:val="00372F52"/>
    <w:rsid w:val="003A4898"/>
    <w:rsid w:val="003A652C"/>
    <w:rsid w:val="003E2A45"/>
    <w:rsid w:val="004B1B50"/>
    <w:rsid w:val="004F7CFC"/>
    <w:rsid w:val="00526AA7"/>
    <w:rsid w:val="005868AF"/>
    <w:rsid w:val="00611D3C"/>
    <w:rsid w:val="0063064D"/>
    <w:rsid w:val="0066103B"/>
    <w:rsid w:val="006E61B9"/>
    <w:rsid w:val="007B228F"/>
    <w:rsid w:val="007D3833"/>
    <w:rsid w:val="00820837"/>
    <w:rsid w:val="008378F5"/>
    <w:rsid w:val="00893CC1"/>
    <w:rsid w:val="00894EB2"/>
    <w:rsid w:val="009053EB"/>
    <w:rsid w:val="00965DBB"/>
    <w:rsid w:val="009E0188"/>
    <w:rsid w:val="009E5B88"/>
    <w:rsid w:val="00A61592"/>
    <w:rsid w:val="00AF3C88"/>
    <w:rsid w:val="00B87059"/>
    <w:rsid w:val="00BD41B0"/>
    <w:rsid w:val="00C5064C"/>
    <w:rsid w:val="00C96379"/>
    <w:rsid w:val="00CF29B8"/>
    <w:rsid w:val="00D11B10"/>
    <w:rsid w:val="00D142B7"/>
    <w:rsid w:val="00D40E2C"/>
    <w:rsid w:val="00D435B0"/>
    <w:rsid w:val="00D9082C"/>
    <w:rsid w:val="00DA3C95"/>
    <w:rsid w:val="00DD3EF1"/>
    <w:rsid w:val="00E21F44"/>
    <w:rsid w:val="00E35648"/>
    <w:rsid w:val="00E35D14"/>
    <w:rsid w:val="00E840F4"/>
    <w:rsid w:val="00ED388A"/>
    <w:rsid w:val="00F118CE"/>
    <w:rsid w:val="00F15D58"/>
    <w:rsid w:val="00F21B55"/>
    <w:rsid w:val="00F731A4"/>
    <w:rsid w:val="00FC1558"/>
    <w:rsid w:val="00FD42E1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D813"/>
  <w15:docId w15:val="{20A5FFAD-A786-40C5-894F-ABC01B5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-scope">
    <w:name w:val="style-scope"/>
    <w:basedOn w:val="a0"/>
    <w:rsid w:val="00FE15F7"/>
  </w:style>
  <w:style w:type="table" w:styleId="a4">
    <w:name w:val="Table Grid"/>
    <w:basedOn w:val="a1"/>
    <w:uiPriority w:val="39"/>
    <w:rsid w:val="0075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77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7705"/>
    <w:rPr>
      <w:color w:val="605E5C"/>
      <w:shd w:val="clear" w:color="auto" w:fill="E1DFDD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digita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.diia.gov.ua/centr-di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er.diia.gov.ua/centr-di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er.diia.gov.ua/library/informacia-pro-nacionalnij-proekt-z-rozvitku-pidpriemnictva-inicijovanij-mincif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8rTWIMzhEm7C/mZCDt2CVzL8SQ==">AMUW2mWaluYczb+uScsOBEajJi1jCJlOaz4/CW0xglrnO3C4t5tDpt2lbquWnhR/Xfp6QQtEN0O/aU2iWh4KvvuX542eY6GAxinxT0+YuPk/n8WSHCzyG+CdRPF2HeT/90jFohpoI8m9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13719</Words>
  <Characters>7820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admin</cp:lastModifiedBy>
  <cp:revision>8</cp:revision>
  <dcterms:created xsi:type="dcterms:W3CDTF">2022-02-01T08:44:00Z</dcterms:created>
  <dcterms:modified xsi:type="dcterms:W3CDTF">2022-02-07T06:39:00Z</dcterms:modified>
</cp:coreProperties>
</file>